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993"/>
        <w:gridCol w:w="2268"/>
        <w:gridCol w:w="266"/>
        <w:gridCol w:w="3083"/>
        <w:gridCol w:w="236"/>
        <w:gridCol w:w="883"/>
        <w:gridCol w:w="2256"/>
        <w:gridCol w:w="895"/>
      </w:tblGrid>
      <w:tr w:rsidR="00DC0B60" w:rsidRPr="00DC0B60" w:rsidTr="00DC0B60">
        <w:trPr>
          <w:trHeight w:val="255"/>
        </w:trPr>
        <w:tc>
          <w:tcPr>
            <w:tcW w:w="993" w:type="dxa"/>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Level</w:t>
            </w:r>
          </w:p>
        </w:tc>
        <w:tc>
          <w:tcPr>
            <w:tcW w:w="2268" w:type="dxa"/>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266" w:type="dxa"/>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3083" w:type="dxa"/>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Provinsi Riau</w:t>
            </w:r>
          </w:p>
        </w:tc>
        <w:tc>
          <w:tcPr>
            <w:tcW w:w="236" w:type="dxa"/>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883" w:type="dxa"/>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2256" w:type="dxa"/>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895" w:type="dxa"/>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255"/>
        </w:trPr>
        <w:tc>
          <w:tcPr>
            <w:tcW w:w="3261" w:type="dxa"/>
            <w:gridSpan w:val="2"/>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Komponen</w:t>
            </w:r>
          </w:p>
        </w:tc>
        <w:tc>
          <w:tcPr>
            <w:tcW w:w="266" w:type="dxa"/>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3319" w:type="dxa"/>
            <w:gridSpan w:val="2"/>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Implementasi Kinerja</w:t>
            </w:r>
          </w:p>
        </w:tc>
        <w:tc>
          <w:tcPr>
            <w:tcW w:w="883" w:type="dxa"/>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2256" w:type="dxa"/>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895" w:type="dxa"/>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255"/>
        </w:trPr>
        <w:tc>
          <w:tcPr>
            <w:tcW w:w="993" w:type="dxa"/>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2268" w:type="dxa"/>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266" w:type="dxa"/>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3083" w:type="dxa"/>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236" w:type="dxa"/>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883" w:type="dxa"/>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2256" w:type="dxa"/>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895" w:type="dxa"/>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255"/>
        </w:trPr>
        <w:tc>
          <w:tcPr>
            <w:tcW w:w="3527" w:type="dxa"/>
            <w:gridSpan w:val="3"/>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Isu dalam PGA REDD+</w:t>
            </w:r>
          </w:p>
        </w:tc>
        <w:tc>
          <w:tcPr>
            <w:tcW w:w="6458" w:type="dxa"/>
            <w:gridSpan w:val="4"/>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xml:space="preserve">:  I. Perencanaan Kehutanan dan Tata Ruang </w:t>
            </w:r>
          </w:p>
        </w:tc>
        <w:tc>
          <w:tcPr>
            <w:tcW w:w="895" w:type="dxa"/>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300"/>
        </w:trPr>
        <w:tc>
          <w:tcPr>
            <w:tcW w:w="3261" w:type="dxa"/>
            <w:gridSpan w:val="2"/>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Indikator</w:t>
            </w:r>
          </w:p>
        </w:tc>
        <w:tc>
          <w:tcPr>
            <w:tcW w:w="266" w:type="dxa"/>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7353" w:type="dxa"/>
            <w:gridSpan w:val="5"/>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a. Tingkat penerimaan (legitimasi) atas dokumen RTRWP/RTRWK/Kehutanan</w:t>
            </w:r>
          </w:p>
        </w:tc>
      </w:tr>
      <w:tr w:rsidR="00DC0B60" w:rsidRPr="00DC0B60" w:rsidTr="00DC0B60">
        <w:trPr>
          <w:trHeight w:val="300"/>
        </w:trPr>
        <w:tc>
          <w:tcPr>
            <w:tcW w:w="3261" w:type="dxa"/>
            <w:gridSpan w:val="2"/>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Wawancara – Sumber informasi</w:t>
            </w:r>
          </w:p>
        </w:tc>
        <w:tc>
          <w:tcPr>
            <w:tcW w:w="266" w:type="dxa"/>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7353" w:type="dxa"/>
            <w:gridSpan w:val="5"/>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Menhut/bappenas) Kepala SKPD, dan Kepala Bagian Perencanaan (Biro kepegawaian dinas)</w:t>
            </w:r>
          </w:p>
        </w:tc>
      </w:tr>
    </w:tbl>
    <w:p w:rsidR="00D74DB4" w:rsidRDefault="00D74DB4"/>
    <w:tbl>
      <w:tblPr>
        <w:tblW w:w="4953" w:type="pct"/>
        <w:tblInd w:w="103" w:type="dxa"/>
        <w:tblLayout w:type="fixed"/>
        <w:tblLook w:val="04A0"/>
      </w:tblPr>
      <w:tblGrid>
        <w:gridCol w:w="714"/>
        <w:gridCol w:w="1220"/>
        <w:gridCol w:w="1590"/>
        <w:gridCol w:w="1167"/>
        <w:gridCol w:w="1693"/>
        <w:gridCol w:w="1344"/>
        <w:gridCol w:w="1775"/>
        <w:gridCol w:w="1382"/>
      </w:tblGrid>
      <w:tr w:rsidR="00DC0B60" w:rsidRPr="00DC0B60" w:rsidTr="00DC0B6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Kode</w:t>
            </w:r>
          </w:p>
        </w:tc>
        <w:tc>
          <w:tcPr>
            <w:tcW w:w="122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Panduan Analisis Dokumen</w:t>
            </w:r>
          </w:p>
        </w:tc>
        <w:tc>
          <w:tcPr>
            <w:tcW w:w="159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Pertanyaan Wawancara</w:t>
            </w:r>
          </w:p>
        </w:tc>
        <w:tc>
          <w:tcPr>
            <w:tcW w:w="1167"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693"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Dokumen</w:t>
            </w:r>
          </w:p>
        </w:tc>
        <w:tc>
          <w:tcPr>
            <w:tcW w:w="1344"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Dokumen</w:t>
            </w:r>
          </w:p>
        </w:tc>
        <w:tc>
          <w:tcPr>
            <w:tcW w:w="1775"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Wawancara</w:t>
            </w:r>
          </w:p>
        </w:tc>
      </w:tr>
      <w:tr w:rsidR="00DC0B60" w:rsidRPr="00DC0B60" w:rsidTr="00DC0B60">
        <w:trPr>
          <w:trHeight w:val="1530"/>
        </w:trPr>
        <w:tc>
          <w:tcPr>
            <w:tcW w:w="714" w:type="dxa"/>
            <w:vMerge w:val="restart"/>
            <w:tcBorders>
              <w:top w:val="nil"/>
              <w:left w:val="single" w:sz="4" w:space="0" w:color="auto"/>
              <w:bottom w:val="single" w:sz="4" w:space="0" w:color="000000"/>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Fla1</w:t>
            </w:r>
          </w:p>
        </w:tc>
        <w:tc>
          <w:tcPr>
            <w:tcW w:w="1220" w:type="dxa"/>
            <w:vMerge w:val="restart"/>
            <w:tcBorders>
              <w:top w:val="nil"/>
              <w:left w:val="single" w:sz="4" w:space="0" w:color="auto"/>
              <w:bottom w:val="single" w:sz="4" w:space="0" w:color="000000"/>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Bagaimana (tingkat) penerimaan (legitimasi) </w:t>
            </w:r>
            <w:r w:rsidRPr="00DC0B60">
              <w:rPr>
                <w:rFonts w:ascii="Times New Roman" w:eastAsia="Times New Roman" w:hAnsi="Times New Roman" w:cs="Times New Roman"/>
                <w:i/>
                <w:iCs/>
                <w:color w:val="000000"/>
                <w:sz w:val="20"/>
                <w:szCs w:val="20"/>
                <w:lang w:eastAsia="id-ID"/>
              </w:rPr>
              <w:t xml:space="preserve">stakeholder </w:t>
            </w:r>
            <w:r w:rsidRPr="00DC0B60">
              <w:rPr>
                <w:rFonts w:ascii="Times New Roman" w:eastAsia="Times New Roman" w:hAnsi="Times New Roman" w:cs="Times New Roman"/>
                <w:color w:val="000000"/>
                <w:sz w:val="20"/>
                <w:szCs w:val="20"/>
                <w:lang w:eastAsia="id-ID"/>
              </w:rPr>
              <w:t>atas dokumen RTRWP Kehutanan?</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Kehutanan</w:t>
            </w:r>
          </w:p>
        </w:tc>
        <w:tc>
          <w:tcPr>
            <w:tcW w:w="1693"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44"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RTRWP dibahas di kalangan dinas terkait, jika ada akademisi dan LSM terlibat melalui mekanisme RDP (public hearing) di DPRD saja. Jadi secara formal saja sosialisasi memenuhi partisipasi planning, bukan pada prinsip dasar perencanan partisipatif. </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r>
      <w:tr w:rsidR="00DC0B60" w:rsidRPr="00DC0B60" w:rsidTr="00DC0B60">
        <w:trPr>
          <w:trHeight w:val="765"/>
        </w:trPr>
        <w:tc>
          <w:tcPr>
            <w:tcW w:w="714"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000000" w:fill="F2DDDC"/>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PU</w:t>
            </w:r>
          </w:p>
        </w:tc>
        <w:tc>
          <w:tcPr>
            <w:tcW w:w="1693"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44"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775" w:type="dxa"/>
            <w:tcBorders>
              <w:top w:val="nil"/>
              <w:left w:val="nil"/>
              <w:bottom w:val="single" w:sz="4" w:space="0" w:color="auto"/>
              <w:right w:val="single" w:sz="4" w:space="0" w:color="auto"/>
            </w:tcBorders>
            <w:shd w:val="clear" w:color="000000" w:fill="F2DDDC"/>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Tidak memberikan kesediaan wawancara hingga batas akhir penelitian terkait pelaksanaan PON Riau</w:t>
            </w:r>
          </w:p>
        </w:tc>
        <w:tc>
          <w:tcPr>
            <w:tcW w:w="1382" w:type="dxa"/>
            <w:tcBorders>
              <w:top w:val="nil"/>
              <w:left w:val="nil"/>
              <w:bottom w:val="single" w:sz="4" w:space="0" w:color="auto"/>
              <w:right w:val="single" w:sz="4" w:space="0" w:color="auto"/>
            </w:tcBorders>
            <w:shd w:val="clear" w:color="000000" w:fill="F2DDDC"/>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3315"/>
        </w:trPr>
        <w:tc>
          <w:tcPr>
            <w:tcW w:w="714"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LSM</w:t>
            </w:r>
          </w:p>
        </w:tc>
        <w:tc>
          <w:tcPr>
            <w:tcW w:w="1693"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44"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LSM tidak tlibat dalam pembahasan tentang RTRWP, masalah RTRWP seolah menjadi sepenuhnya domain pemerintah, padahal RTRWP sangat penting untuk mengetahui batas wilayah, sekaligus memetakan apa yang boleh dan tidak dilakukan. RTRWP mempermudah kejelasan hak masing-masing entitas; masyarakat, perusahaan, perorangan dan usaha-usaha yang dikelola </w:t>
            </w:r>
            <w:r w:rsidRPr="00DC0B60">
              <w:rPr>
                <w:rFonts w:ascii="Times New Roman" w:eastAsia="Times New Roman" w:hAnsi="Times New Roman" w:cs="Times New Roman"/>
                <w:color w:val="000000"/>
                <w:sz w:val="20"/>
                <w:szCs w:val="20"/>
                <w:lang w:eastAsia="id-ID"/>
              </w:rPr>
              <w:lastRenderedPageBreak/>
              <w:t>masyarakat. LSM kurang dapat mengakses dokumen RTRWP jadi tidak dapat menyatakan apakah LSM dapat menerima atau menolak dokumen tersebut.</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lastRenderedPageBreak/>
              <w:t>1</w:t>
            </w:r>
          </w:p>
        </w:tc>
      </w:tr>
      <w:tr w:rsidR="00DC0B60" w:rsidRPr="00DC0B60" w:rsidTr="00DC0B60">
        <w:trPr>
          <w:trHeight w:val="3570"/>
        </w:trPr>
        <w:tc>
          <w:tcPr>
            <w:tcW w:w="714"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Organisasi Masyarakat Adat Lokal</w:t>
            </w:r>
          </w:p>
        </w:tc>
        <w:tc>
          <w:tcPr>
            <w:tcW w:w="1693"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44"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Masyarakat adat adalah kelompok yang paling dirugikan dengan  RTRWP yang diterapkan di Riau secara keseluruhan saat ini, karena RTRWP yang berlaku sangat berpihak pada perusahaan skala raksasa. Dengan perluasan areal pelepasan yang diberikan kepada perusahaan membuat masyarakat menjadi terpinggirkan, rentan dikriminalisasi, padahal masyarakat adat telah ribuan tahun menempati wilayah itu. Jika dokumennya tidak mengakomodir kepentingan masyarakat dan berpihak kepada perusahaan besar, dokumen RTRWP jelas tidak dapat diterima.</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r>
      <w:tr w:rsidR="00DC0B60" w:rsidRPr="00DC0B60" w:rsidTr="00DC0B60">
        <w:trPr>
          <w:trHeight w:val="255"/>
        </w:trPr>
        <w:tc>
          <w:tcPr>
            <w:tcW w:w="714"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000000" w:fill="F2DDDC"/>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Asosiasi Pengusaha</w:t>
            </w:r>
          </w:p>
        </w:tc>
        <w:tc>
          <w:tcPr>
            <w:tcW w:w="1693"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44"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775" w:type="dxa"/>
            <w:tcBorders>
              <w:top w:val="nil"/>
              <w:left w:val="nil"/>
              <w:bottom w:val="single" w:sz="4" w:space="0" w:color="auto"/>
              <w:right w:val="single" w:sz="4" w:space="0" w:color="auto"/>
            </w:tcBorders>
            <w:shd w:val="clear" w:color="000000" w:fill="F2DDDC"/>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Sedang follow untuk diwawancara</w:t>
            </w:r>
          </w:p>
        </w:tc>
        <w:tc>
          <w:tcPr>
            <w:tcW w:w="1382" w:type="dxa"/>
            <w:tcBorders>
              <w:top w:val="nil"/>
              <w:left w:val="nil"/>
              <w:bottom w:val="single" w:sz="4" w:space="0" w:color="auto"/>
              <w:right w:val="single" w:sz="4" w:space="0" w:color="auto"/>
            </w:tcBorders>
            <w:shd w:val="clear" w:color="000000" w:fill="F2DDDC"/>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1020"/>
        </w:trPr>
        <w:tc>
          <w:tcPr>
            <w:tcW w:w="714"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Akademisi</w:t>
            </w:r>
          </w:p>
        </w:tc>
        <w:tc>
          <w:tcPr>
            <w:tcW w:w="1693"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44"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Masih belum diterima, terlebih lagi di tingkat kabupaten masih banyak keberatan berkaitan dengan tata ruang yang diajukan oleh </w:t>
            </w:r>
            <w:r w:rsidRPr="00DC0B60">
              <w:rPr>
                <w:rFonts w:ascii="Times New Roman" w:eastAsia="Times New Roman" w:hAnsi="Times New Roman" w:cs="Times New Roman"/>
                <w:color w:val="000000"/>
                <w:sz w:val="20"/>
                <w:szCs w:val="20"/>
                <w:lang w:eastAsia="id-ID"/>
              </w:rPr>
              <w:lastRenderedPageBreak/>
              <w:t>daerah dan diusulkan provinsi.</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lastRenderedPageBreak/>
              <w:t>1</w:t>
            </w:r>
          </w:p>
        </w:tc>
      </w:tr>
      <w:tr w:rsidR="00DC0B60" w:rsidRPr="00DC0B60" w:rsidTr="00DC0B60">
        <w:trPr>
          <w:trHeight w:val="255"/>
        </w:trPr>
        <w:tc>
          <w:tcPr>
            <w:tcW w:w="714"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59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344"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Indikator</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7361" w:type="dxa"/>
            <w:gridSpan w:val="5"/>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b. Jumlah luas  kawasan hutan yang dikukuhkan dan diterima oleh para pihak</w:t>
            </w:r>
          </w:p>
        </w:tc>
      </w:tr>
      <w:tr w:rsidR="00DC0B60" w:rsidRPr="00DC0B60" w:rsidTr="00DC0B60">
        <w:trPr>
          <w:trHeight w:val="84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Wawancara – Sumber informasi</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7361" w:type="dxa"/>
            <w:gridSpan w:val="5"/>
            <w:tcBorders>
              <w:top w:val="nil"/>
              <w:left w:val="nil"/>
              <w:bottom w:val="single" w:sz="4" w:space="0" w:color="auto"/>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DC0B60" w:rsidRPr="00DC0B60" w:rsidTr="00DC0B6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Kode</w:t>
            </w:r>
          </w:p>
        </w:tc>
        <w:tc>
          <w:tcPr>
            <w:tcW w:w="122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Panduan Analisis Dokumen</w:t>
            </w:r>
          </w:p>
        </w:tc>
        <w:tc>
          <w:tcPr>
            <w:tcW w:w="159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Pertanyaan Wawancara</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Dokumen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Dokumen</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Wawancara</w:t>
            </w:r>
          </w:p>
        </w:tc>
      </w:tr>
      <w:tr w:rsidR="00DC0B60" w:rsidRPr="00DC0B60" w:rsidTr="00DC0B60">
        <w:trPr>
          <w:trHeight w:val="280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FIb1</w:t>
            </w:r>
          </w:p>
        </w:tc>
        <w:tc>
          <w:tcPr>
            <w:tcW w:w="1220" w:type="dxa"/>
            <w:vMerge w:val="restart"/>
            <w:tcBorders>
              <w:top w:val="nil"/>
              <w:left w:val="single" w:sz="4" w:space="0" w:color="auto"/>
              <w:bottom w:val="single" w:sz="4" w:space="0" w:color="000000"/>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Jumlah luas kawasan hutan yang dikukuhkan dan dite-rima oleh para pihak</w:t>
            </w:r>
          </w:p>
        </w:tc>
        <w:tc>
          <w:tcPr>
            <w:tcW w:w="1590" w:type="dxa"/>
            <w:vMerge w:val="restart"/>
            <w:tcBorders>
              <w:top w:val="nil"/>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Bagaimana penerimaan para pihak terhadap jumlah luas kawasan hutan yang dikukuhkan? </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Kehutanan</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Dokumen Tim Terpadu masih berupa draft, belum bisa dipublikasikan karena masih banyak persoalan di tingkat kabupaten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Saat ini karena RTRWP Riau belum disahkan. Untuk saat ini Tim Terpadu masih melakukan finalisasi. Beberapa kabupaten belum dapat menerima konsep RTRWP yang diajukan provinsi. RTRWP provinsi terutama yang berkaitan dengan kehutanan sangat tergantung pada pengesahan Kementerian Kehutanan. Karena hingga saat ini Kemenhut belum mengesahkan pengganti TGHK Th. 1986, maka RTRWP Riau untuk kehutanan kembali ke aturan tersebut. </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r>
      <w:tr w:rsidR="00DC0B60" w:rsidRPr="00DC0B60" w:rsidTr="00DC0B60">
        <w:trPr>
          <w:trHeight w:val="3825"/>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LSM</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Dokumen tidak didapatkan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Konflik dalam masyarakat cukup mengindikasikan bahwa tata ruang yang berlaku saat ini sangat bermasalah berkaitan dengan distribusi hak terutama antara perusahaan berbasis lahan skala besar dengan masyarakat. Jadi untuk luas kawasan hutan yang ada sekarang, dapat dilihat bahwa tingkat </w:t>
            </w:r>
            <w:r w:rsidRPr="00DC0B60">
              <w:rPr>
                <w:rFonts w:ascii="Times New Roman" w:eastAsia="Times New Roman" w:hAnsi="Times New Roman" w:cs="Times New Roman"/>
                <w:color w:val="000000"/>
                <w:sz w:val="20"/>
                <w:szCs w:val="20"/>
                <w:lang w:eastAsia="id-ID"/>
              </w:rPr>
              <w:lastRenderedPageBreak/>
              <w:t>penerimaan masyarakat sangat rendah. Konflik masyarakat dengan perusahaan di tahun 2011 dapat menjadi indikasi bahwa kawasan hutan yang dikukuhkan saat ini belum diterima semua pihak. Perusahaan perkebunan adalah entitas yang paling diuntungkan oleh ketidakjelasan tata ruang di Riau.</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lastRenderedPageBreak/>
              <w:t>1</w:t>
            </w:r>
          </w:p>
        </w:tc>
      </w:tr>
      <w:tr w:rsidR="00DC0B60" w:rsidRPr="00DC0B60" w:rsidTr="00DC0B60">
        <w:trPr>
          <w:trHeight w:val="3060"/>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Organisasi Masyarakat Adat Lokal</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Permohonan Pengujian UU No. 41/1999 tentang Kehutanan Terhadap UUD 1945 pada Mahkamah Konstitusi. Gugatan berisi keberatan tentang eksistensi dan pengelolaan hutan oleh masyarakat adat dalam Pasal 1 Ayat (6), jo. Pasal 4 ayat (3) jo. Pasal 5, dan Pasal 67 Ayat (2 dan 3) UU No. 41 Tahun 1999 tentang Kehutanan. Menurut dokumen gugat, negara tidak mengakui atau secara legal formal meniadakan eksistensi dan hak masyarakat adat. </w:t>
            </w:r>
          </w:p>
        </w:tc>
        <w:tc>
          <w:tcPr>
            <w:tcW w:w="1344" w:type="dxa"/>
            <w:tcBorders>
              <w:top w:val="nil"/>
              <w:left w:val="nil"/>
              <w:bottom w:val="single" w:sz="4" w:space="0" w:color="auto"/>
              <w:right w:val="single" w:sz="4" w:space="0" w:color="auto"/>
            </w:tcBorders>
            <w:shd w:val="clear" w:color="000000" w:fill="FFFF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Dilihat dari UU No. 41/1999 tentang Kehutanan dapat dilihat bahwa kawasan hutan menjadi sepenuhnya kewenangan kementerian, artinya semua yang berkaitan dengan urusan kehutanan sifatnya sentralistik. Luas kawasan hutan yang saat ini, entah bagaimana proses pengukuhan dan pemberlakuannya sangat merugikan dan memarjinalkan masyarakat adat.</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r>
      <w:tr w:rsidR="00DC0B60" w:rsidRPr="00DC0B60" w:rsidTr="00DC0B60">
        <w:trPr>
          <w:trHeight w:val="765"/>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Akademisi</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Dokumen tidak didapatkan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Belum ada hasil final karena tata ruang juga belum final. Belum jelas penerimaan para pihak seperti apa masih dlam proses.</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r>
      <w:tr w:rsidR="00DC0B60" w:rsidRPr="00DC0B60" w:rsidTr="00DC0B60">
        <w:trPr>
          <w:trHeight w:val="510"/>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000000" w:fill="F2DDDC"/>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UPT BKPH</w:t>
            </w:r>
          </w:p>
        </w:tc>
        <w:tc>
          <w:tcPr>
            <w:tcW w:w="1693" w:type="dxa"/>
            <w:tcBorders>
              <w:top w:val="nil"/>
              <w:left w:val="nil"/>
              <w:bottom w:val="single" w:sz="4" w:space="0" w:color="auto"/>
              <w:right w:val="single" w:sz="4" w:space="0" w:color="auto"/>
            </w:tcBorders>
            <w:shd w:val="clear" w:color="000000" w:fill="F2DDDC"/>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44" w:type="dxa"/>
            <w:tcBorders>
              <w:top w:val="nil"/>
              <w:left w:val="nil"/>
              <w:bottom w:val="single" w:sz="4" w:space="0" w:color="auto"/>
              <w:right w:val="single" w:sz="4" w:space="0" w:color="auto"/>
            </w:tcBorders>
            <w:shd w:val="clear" w:color="000000" w:fill="F2DDDC"/>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775" w:type="dxa"/>
            <w:tcBorders>
              <w:top w:val="nil"/>
              <w:left w:val="nil"/>
              <w:bottom w:val="single" w:sz="4" w:space="0" w:color="auto"/>
              <w:right w:val="single" w:sz="4" w:space="0" w:color="auto"/>
            </w:tcBorders>
            <w:shd w:val="clear" w:color="000000" w:fill="F2DDDC"/>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xml:space="preserve">Lokasi UPT BKPH tidak di Pekanbaru, tapi di Tanjung Pinang, Kepri. </w:t>
            </w:r>
          </w:p>
        </w:tc>
        <w:tc>
          <w:tcPr>
            <w:tcW w:w="1382" w:type="dxa"/>
            <w:tcBorders>
              <w:top w:val="nil"/>
              <w:left w:val="nil"/>
              <w:bottom w:val="single" w:sz="4" w:space="0" w:color="auto"/>
              <w:right w:val="single" w:sz="4" w:space="0" w:color="auto"/>
            </w:tcBorders>
            <w:shd w:val="clear" w:color="000000" w:fill="F2DDDC"/>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255"/>
        </w:trPr>
        <w:tc>
          <w:tcPr>
            <w:tcW w:w="714"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59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344"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45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lastRenderedPageBreak/>
              <w:t>Indikator</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7361" w:type="dxa"/>
            <w:gridSpan w:val="5"/>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c. Jumlah tata- ruang kelola masyarakat adat/lokal yang terakomodir dalam tata-ruang propinsi dan/atau kabupaten</w:t>
            </w:r>
          </w:p>
        </w:tc>
      </w:tr>
      <w:tr w:rsidR="00DC0B60" w:rsidRPr="00DC0B60" w:rsidTr="00DC0B60">
        <w:trPr>
          <w:trHeight w:val="9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Wawancara – Sumber informasi</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7361" w:type="dxa"/>
            <w:gridSpan w:val="5"/>
            <w:tcBorders>
              <w:top w:val="nil"/>
              <w:left w:val="nil"/>
              <w:bottom w:val="single" w:sz="4" w:space="0" w:color="auto"/>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DC0B60" w:rsidRPr="00DC0B60" w:rsidTr="00DC0B6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Kode</w:t>
            </w:r>
          </w:p>
        </w:tc>
        <w:tc>
          <w:tcPr>
            <w:tcW w:w="122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Panduan Analisis Dokumen</w:t>
            </w:r>
          </w:p>
        </w:tc>
        <w:tc>
          <w:tcPr>
            <w:tcW w:w="159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Pertanyaan Wawancara</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Dokumen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Dokumen</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Wawancara</w:t>
            </w:r>
          </w:p>
        </w:tc>
      </w:tr>
      <w:tr w:rsidR="00DC0B60" w:rsidRPr="00DC0B60" w:rsidTr="00DC0B60">
        <w:trPr>
          <w:trHeight w:val="255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FIc1</w:t>
            </w:r>
          </w:p>
        </w:tc>
        <w:tc>
          <w:tcPr>
            <w:tcW w:w="1220" w:type="dxa"/>
            <w:vMerge w:val="restart"/>
            <w:tcBorders>
              <w:top w:val="nil"/>
              <w:left w:val="single" w:sz="4" w:space="0" w:color="auto"/>
              <w:bottom w:val="single" w:sz="4" w:space="0" w:color="000000"/>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Jumlah tata-ruang kelola ma-syarakat adat/lokal yang ter-akomodir dalam tata-ruang pro-pinsi dan/atau kabupaten</w:t>
            </w:r>
          </w:p>
        </w:tc>
        <w:tc>
          <w:tcPr>
            <w:tcW w:w="1590" w:type="dxa"/>
            <w:vMerge w:val="restart"/>
            <w:tcBorders>
              <w:top w:val="nil"/>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Apakah jumlah tata-ruang kelola masyarakat adat/lokal yang terakomodir dalam tata-ruang propinsi dan/atau kabupaten sudah memadai?</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Kehutanan</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Tim Terpadu provinsi tidak bersedia memberikan draft dokumen tata ruang karena belum disahkan menjadi perda. Draft tata ruang masih banyak persoalan di tingkat kabupaten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Dalam TGHK/1986 pola ruang yang muncul hanya Hutan Konservasi dan Hutan Lindung. Hutan adat belum diakui, meskipun sudah ada perda tentang tanah ulayat di Kabupaten Kampar, tapi perda tersebut belum diakui di tingkat provinsi. Jadi, dalam peraturan tidak dikenal adanya hutan adat, HTR juga belum ada karena seluruh pelepasan areal menjadi kewenangan kemenhut.</w:t>
            </w:r>
          </w:p>
        </w:tc>
        <w:tc>
          <w:tcPr>
            <w:tcW w:w="1382"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 = karena tidak jelas berapa persen yang terakomodir</w:t>
            </w:r>
          </w:p>
        </w:tc>
      </w:tr>
      <w:tr w:rsidR="00DC0B60" w:rsidRPr="00DC0B60" w:rsidTr="00DC0B60">
        <w:trPr>
          <w:trHeight w:val="1530"/>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LSM</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Dokumen RTRW tidak dapat diakses oleh LSM, informasi RTRW hanya dapat diakses melalui mekanisme dengar pendapat, itupun jika LSM diundang, dan jika hadir draft tidak dibagikan kepada seluruh peserta.</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Sejauh ini kepentingan masyarakat belum terakomodir dalam tata ruang provinsi, karena enclave yang diajukan tidak juga disahkan. Jadi, kegiatan masyarakat berbasis kehutanan tidak memadai. </w:t>
            </w:r>
          </w:p>
        </w:tc>
        <w:tc>
          <w:tcPr>
            <w:tcW w:w="1382"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 = sangat buruk, karena hak masyarakat belum terakomodir</w:t>
            </w:r>
          </w:p>
        </w:tc>
      </w:tr>
      <w:tr w:rsidR="00DC0B60" w:rsidRPr="00DC0B60" w:rsidTr="00DC0B60">
        <w:trPr>
          <w:trHeight w:val="510"/>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000000" w:fill="F2DDDC"/>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UPT BKPH</w:t>
            </w:r>
          </w:p>
        </w:tc>
        <w:tc>
          <w:tcPr>
            <w:tcW w:w="1693" w:type="dxa"/>
            <w:tcBorders>
              <w:top w:val="nil"/>
              <w:left w:val="nil"/>
              <w:bottom w:val="single" w:sz="4" w:space="0" w:color="auto"/>
              <w:right w:val="single" w:sz="4" w:space="0" w:color="auto"/>
            </w:tcBorders>
            <w:shd w:val="clear" w:color="000000" w:fill="F2DDDC"/>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44" w:type="dxa"/>
            <w:tcBorders>
              <w:top w:val="nil"/>
              <w:left w:val="nil"/>
              <w:bottom w:val="single" w:sz="4" w:space="0" w:color="auto"/>
              <w:right w:val="single" w:sz="4" w:space="0" w:color="auto"/>
            </w:tcBorders>
            <w:shd w:val="clear" w:color="000000" w:fill="F2DDDC"/>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775" w:type="dxa"/>
            <w:tcBorders>
              <w:top w:val="nil"/>
              <w:left w:val="nil"/>
              <w:bottom w:val="single" w:sz="4" w:space="0" w:color="auto"/>
              <w:right w:val="single" w:sz="4" w:space="0" w:color="auto"/>
            </w:tcBorders>
            <w:shd w:val="clear" w:color="000000" w:fill="F2DDDC"/>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UPT BKPH tidak ada di Pekanbaru, tapi di Tanjung Pinang, Kepri.</w:t>
            </w:r>
          </w:p>
        </w:tc>
        <w:tc>
          <w:tcPr>
            <w:tcW w:w="1382" w:type="dxa"/>
            <w:tcBorders>
              <w:top w:val="nil"/>
              <w:left w:val="nil"/>
              <w:bottom w:val="single" w:sz="4" w:space="0" w:color="auto"/>
              <w:right w:val="single" w:sz="4" w:space="0" w:color="auto"/>
            </w:tcBorders>
            <w:shd w:val="clear" w:color="000000" w:fill="F2DDDC"/>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1530"/>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Organisasi Masyarakat Adat Lokal</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Peta rencana RTRW yang diperoleh karena ada personal kontak di BPN. </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2</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Kepentingan masyarakat adat atau masyarakat yang hidupnya tergantung pada hutan tidak pernah menjadi kepedulian </w:t>
            </w:r>
            <w:r w:rsidRPr="00DC0B60">
              <w:rPr>
                <w:rFonts w:ascii="Times New Roman" w:eastAsia="Times New Roman" w:hAnsi="Times New Roman" w:cs="Times New Roman"/>
                <w:color w:val="000000"/>
                <w:sz w:val="20"/>
                <w:szCs w:val="20"/>
                <w:lang w:eastAsia="id-ID"/>
              </w:rPr>
              <w:lastRenderedPageBreak/>
              <w:t>pemerintah baik di pusat maupun di daerah. Masyarakt adat semakin terkucil dalam tata ruang di daerahnya sendiri.</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lastRenderedPageBreak/>
              <w:t>1</w:t>
            </w:r>
          </w:p>
        </w:tc>
      </w:tr>
      <w:tr w:rsidR="00DC0B60" w:rsidRPr="00DC0B60" w:rsidTr="00DC0B60">
        <w:trPr>
          <w:trHeight w:val="1530"/>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Akademisi</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Dokumen tidak didapatkan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Belum terakomodir, justru masyarakat adat semakin terpinggirkan. Harus ada pendekatan khusus bagi masyarakat adat. Seperti suku Sakai di Bengkalis dan Siak, mereka adalah kelompok masyarakat yang sangat tergantung hidupnya pada hutan.</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r>
      <w:tr w:rsidR="00DC0B60" w:rsidRPr="00DC0B60" w:rsidTr="00DC0B60">
        <w:trPr>
          <w:trHeight w:val="255"/>
        </w:trPr>
        <w:tc>
          <w:tcPr>
            <w:tcW w:w="714"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59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344"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Indikator</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7361" w:type="dxa"/>
            <w:gridSpan w:val="5"/>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d. Jumlah konflik penguasaan kawasan yang dapat difasilitasi penyelesaiannya dalam setiap tahun</w:t>
            </w: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Wawancara – Sumber informasi</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7361" w:type="dxa"/>
            <w:gridSpan w:val="5"/>
            <w:tcBorders>
              <w:top w:val="nil"/>
              <w:left w:val="nil"/>
              <w:bottom w:val="single" w:sz="4" w:space="0" w:color="auto"/>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xml:space="preserve">: Pusat (Direktur Perencaaan Wilayah Kementerian Kehutanan, Organisasi Masyarakat Adat/Lokal, LSM terkait, Akademisi). Provinsi: (Kepala Dinas Kehutanan, Kepala UPT BPKH, Organisasi Masyarakat Adat/Lokal, LSM terkait, Akademisi), Kabupaten: (Kepala Dinas Kehutanan, Organisasi Masyarakat Adat/Lokal, LSM terkait, Akademisi)  </w:t>
            </w:r>
          </w:p>
        </w:tc>
      </w:tr>
      <w:tr w:rsidR="00DC0B60" w:rsidRPr="00DC0B60" w:rsidTr="00DC0B6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Kode</w:t>
            </w:r>
          </w:p>
        </w:tc>
        <w:tc>
          <w:tcPr>
            <w:tcW w:w="122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Panduan Analisis Dokumen</w:t>
            </w:r>
          </w:p>
        </w:tc>
        <w:tc>
          <w:tcPr>
            <w:tcW w:w="159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Pertanyaan Wawancara</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Dokumen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Dokumen</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Wawancara</w:t>
            </w:r>
          </w:p>
        </w:tc>
      </w:tr>
      <w:tr w:rsidR="00DC0B60" w:rsidRPr="00DC0B60" w:rsidTr="00DC0B60">
        <w:trPr>
          <w:trHeight w:val="1785"/>
        </w:trPr>
        <w:tc>
          <w:tcPr>
            <w:tcW w:w="714" w:type="dxa"/>
            <w:vMerge w:val="restart"/>
            <w:tcBorders>
              <w:top w:val="nil"/>
              <w:left w:val="single" w:sz="4" w:space="0" w:color="auto"/>
              <w:bottom w:val="single" w:sz="4" w:space="0" w:color="auto"/>
              <w:right w:val="single" w:sz="4" w:space="0" w:color="auto"/>
            </w:tcBorders>
            <w:shd w:val="clear" w:color="000000" w:fill="FFFF00"/>
            <w:noWrap/>
            <w:hideMark/>
          </w:tcPr>
          <w:p w:rsidR="00DC0B60" w:rsidRPr="00DC0B60" w:rsidRDefault="00DC0B60" w:rsidP="00DC0B60">
            <w:pPr>
              <w:spacing w:after="0" w:line="240" w:lineRule="auto"/>
              <w:jc w:val="center"/>
              <w:rPr>
                <w:rFonts w:ascii="Times New Roman" w:eastAsia="Times New Roman" w:hAnsi="Times New Roman" w:cs="Times New Roman"/>
                <w:color w:val="FFFF00"/>
                <w:sz w:val="20"/>
                <w:szCs w:val="20"/>
                <w:lang w:eastAsia="id-ID"/>
              </w:rPr>
            </w:pPr>
            <w:r w:rsidRPr="00DC0B60">
              <w:rPr>
                <w:rFonts w:ascii="Times New Roman" w:eastAsia="Times New Roman" w:hAnsi="Times New Roman" w:cs="Times New Roman"/>
                <w:color w:val="FFFF00"/>
                <w:sz w:val="20"/>
                <w:szCs w:val="20"/>
                <w:lang w:eastAsia="id-ID"/>
              </w:rPr>
              <w:t> </w:t>
            </w:r>
          </w:p>
        </w:tc>
        <w:tc>
          <w:tcPr>
            <w:tcW w:w="1220" w:type="dxa"/>
            <w:vMerge w:val="restart"/>
            <w:tcBorders>
              <w:top w:val="nil"/>
              <w:left w:val="single" w:sz="4" w:space="0" w:color="auto"/>
              <w:bottom w:val="single" w:sz="4" w:space="0" w:color="000000"/>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Jumlah konflik penguasaan kawasan yang dapat difasilitasi penyelesaiannya dalam setiap tahun</w:t>
            </w:r>
          </w:p>
        </w:tc>
        <w:tc>
          <w:tcPr>
            <w:tcW w:w="1590" w:type="dxa"/>
            <w:vMerge w:val="restart"/>
            <w:tcBorders>
              <w:top w:val="nil"/>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Apakah jumlah konflik penguasaan kawasan yang dapat difasilitasi penyelesaiannya dalam setiap tahun sudah memadai?</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Kehutanan</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Renstra dan LAKIP TA 2011, 2010, 2009 tidak menyebutkan adanya anggaran untuk menyelesaikan konflik kehutanan karena Dishut pemprov hanya memfasilitasi. </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Dishut provinsi tidak mendeteksi sedetail yang dimaksud indikator dalam penyelesaian konflik. Dishut lebih berfungsi sebagai saksi ahli di persidangan kehutanan. Hak-hak masyarakat tidak terplot secara detail, kecuali hak-hak perusahaan seperti pemilik HPH atau HTI.</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r>
      <w:tr w:rsidR="00DC0B60" w:rsidRPr="00DC0B60" w:rsidTr="00DC0B60">
        <w:trPr>
          <w:trHeight w:val="2805"/>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FFFF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LSM</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Tidak ditemukan dokumen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LBH Pekanbaru, Scale Up dan Jikalahari adalah LSM yang concern pada upaya penyelesaian konflik kawasan. Hingga saat ini belum ada penyelesaian konflik baik masyarakat dengan pemerintah atau masyarakat dengan perusahaan yang komprehensif dan win win solution. Dalam banyak kasus konflik tidak terselesaikan, dan masyarakat menjadi korban dan semakin termajinalkan karena lokasi strategis dan aksesibel dimiliki oleh perusahaan. </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r>
      <w:tr w:rsidR="00DC0B60" w:rsidRPr="00DC0B60" w:rsidTr="00DC0B60">
        <w:trPr>
          <w:trHeight w:val="510"/>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FFFF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000000" w:fill="F2DDDC"/>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UPT BKPH</w:t>
            </w:r>
          </w:p>
        </w:tc>
        <w:tc>
          <w:tcPr>
            <w:tcW w:w="1693" w:type="dxa"/>
            <w:tcBorders>
              <w:top w:val="nil"/>
              <w:left w:val="nil"/>
              <w:bottom w:val="single" w:sz="4" w:space="0" w:color="auto"/>
              <w:right w:val="single" w:sz="4" w:space="0" w:color="auto"/>
            </w:tcBorders>
            <w:shd w:val="clear" w:color="000000" w:fill="F2DDDC"/>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44" w:type="dxa"/>
            <w:tcBorders>
              <w:top w:val="nil"/>
              <w:left w:val="nil"/>
              <w:bottom w:val="single" w:sz="4" w:space="0" w:color="auto"/>
              <w:right w:val="single" w:sz="4" w:space="0" w:color="auto"/>
            </w:tcBorders>
            <w:shd w:val="clear" w:color="000000" w:fill="F2DDDC"/>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775" w:type="dxa"/>
            <w:tcBorders>
              <w:top w:val="nil"/>
              <w:left w:val="nil"/>
              <w:bottom w:val="single" w:sz="4" w:space="0" w:color="auto"/>
              <w:right w:val="single" w:sz="4" w:space="0" w:color="auto"/>
            </w:tcBorders>
            <w:shd w:val="clear" w:color="000000" w:fill="F2DDDC"/>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UPT BKPH tidak ada di Pekanbaru, tapi di Tanjung Pinang, Kepri.</w:t>
            </w:r>
          </w:p>
        </w:tc>
        <w:tc>
          <w:tcPr>
            <w:tcW w:w="1382" w:type="dxa"/>
            <w:tcBorders>
              <w:top w:val="nil"/>
              <w:left w:val="nil"/>
              <w:bottom w:val="single" w:sz="4" w:space="0" w:color="auto"/>
              <w:right w:val="single" w:sz="4" w:space="0" w:color="auto"/>
            </w:tcBorders>
            <w:shd w:val="clear" w:color="000000" w:fill="F2DDDC"/>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2295"/>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FFFF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Organisasi Masyarakat Adat Lokal</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Dokumen tidak tersedia</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 = tidak memadai karena keterbatasan data, namun demikian tidak serta merta menghilangkan informasi dari informan</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Sejauh ini penyelesaian konflik hanya upaya pengalihan permasalahan. Kenyataannya tidak ada konflik yang terselesaikan dengan baik dan memadai.</w:t>
            </w:r>
          </w:p>
        </w:tc>
        <w:tc>
          <w:tcPr>
            <w:tcW w:w="1382"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 = tidak memadai karena konflik tidak terselesaikan</w:t>
            </w:r>
          </w:p>
        </w:tc>
      </w:tr>
      <w:tr w:rsidR="00DC0B60" w:rsidRPr="00DC0B60" w:rsidTr="00DC0B60">
        <w:trPr>
          <w:trHeight w:val="765"/>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FFFF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Akademisi</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Dokumen tidak tersedia</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Belum memadai karena konflik tidak terselesaikan, hanya laten saja, dapat sewaktu-waktu muncul lagi kepermukaan</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r>
      <w:tr w:rsidR="00DC0B60" w:rsidRPr="00DC0B60" w:rsidTr="00DC0B60">
        <w:trPr>
          <w:trHeight w:val="151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FId1</w:t>
            </w:r>
          </w:p>
        </w:tc>
        <w:tc>
          <w:tcPr>
            <w:tcW w:w="1220" w:type="dxa"/>
            <w:vMerge w:val="restart"/>
            <w:tcBorders>
              <w:top w:val="nil"/>
              <w:left w:val="single" w:sz="4" w:space="0" w:color="auto"/>
              <w:bottom w:val="single" w:sz="4" w:space="0" w:color="000000"/>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Hasil mediasi bisa diterima oleh semua pihak dan dijalankan secara konsisten</w:t>
            </w:r>
          </w:p>
        </w:tc>
        <w:tc>
          <w:tcPr>
            <w:tcW w:w="1590" w:type="dxa"/>
            <w:vMerge w:val="restart"/>
            <w:tcBorders>
              <w:top w:val="nil"/>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Apakah hasil mediasi bisa diterima oleh semua pihak dan dijalankan secara konsisten?</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Kehutanan</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Dokumen tidak tersedia</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Tidak dapat dijawab, dishut provinsi tidak melakukan mediasi karena kurangnya tenaga, dan banyaknya kasus kehutanan</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r>
      <w:tr w:rsidR="00DC0B60" w:rsidRPr="00DC0B60" w:rsidTr="00DC0B60">
        <w:trPr>
          <w:trHeight w:val="1020"/>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LSM</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Dokumen tidak tersedia</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Mediasi belum pernah tuntas, bahkan pemerintah tidak memberikan argumentasi yang cukup dapat diterima terutama oleh masyarakat. </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2</w:t>
            </w:r>
          </w:p>
        </w:tc>
      </w:tr>
      <w:tr w:rsidR="00DC0B60" w:rsidRPr="00DC0B60" w:rsidTr="00DC0B60">
        <w:trPr>
          <w:trHeight w:val="510"/>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000000" w:fill="F2DDDC"/>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UPT BKPH</w:t>
            </w:r>
          </w:p>
        </w:tc>
        <w:tc>
          <w:tcPr>
            <w:tcW w:w="1693" w:type="dxa"/>
            <w:tcBorders>
              <w:top w:val="nil"/>
              <w:left w:val="nil"/>
              <w:bottom w:val="single" w:sz="4" w:space="0" w:color="auto"/>
              <w:right w:val="single" w:sz="4" w:space="0" w:color="auto"/>
            </w:tcBorders>
            <w:shd w:val="clear" w:color="000000" w:fill="F2DDDC"/>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44" w:type="dxa"/>
            <w:tcBorders>
              <w:top w:val="nil"/>
              <w:left w:val="nil"/>
              <w:bottom w:val="single" w:sz="4" w:space="0" w:color="auto"/>
              <w:right w:val="single" w:sz="4" w:space="0" w:color="auto"/>
            </w:tcBorders>
            <w:shd w:val="clear" w:color="000000" w:fill="F2DDDC"/>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775" w:type="dxa"/>
            <w:tcBorders>
              <w:top w:val="nil"/>
              <w:left w:val="nil"/>
              <w:bottom w:val="single" w:sz="4" w:space="0" w:color="auto"/>
              <w:right w:val="single" w:sz="4" w:space="0" w:color="auto"/>
            </w:tcBorders>
            <w:shd w:val="clear" w:color="000000" w:fill="F2DDDC"/>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UPT BKPH tidak ada di Pekanbaru, tapi di Tanjung Pinang, Kepri.</w:t>
            </w:r>
          </w:p>
        </w:tc>
        <w:tc>
          <w:tcPr>
            <w:tcW w:w="1382" w:type="dxa"/>
            <w:tcBorders>
              <w:top w:val="nil"/>
              <w:left w:val="nil"/>
              <w:bottom w:val="single" w:sz="4" w:space="0" w:color="auto"/>
              <w:right w:val="single" w:sz="4" w:space="0" w:color="auto"/>
            </w:tcBorders>
            <w:shd w:val="clear" w:color="000000" w:fill="F2DDDC"/>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1530"/>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Organisasi Masyarakat Adat Lokal</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Dokumen tidak tersedia</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Apakah bisa dikategorikan sebagai mediasi, jika konflik tidak terselesaikan hingga saat ini. Padahal jelas-jelas perusahan seperi RT. RAPP dan PT. Indah Kiat tidak mentaati aturan. Jika dihitung ada sekitar 700 ha hutan adat yang dilanggar oleh PT. RAPP.</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2</w:t>
            </w:r>
          </w:p>
        </w:tc>
      </w:tr>
      <w:tr w:rsidR="00DC0B60" w:rsidRPr="00DC0B60" w:rsidTr="00DC0B60">
        <w:trPr>
          <w:trHeight w:val="765"/>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Akademisi</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Dokumen tidak tersedia</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Tidak dapat dijawab karena belum ada hasil mediasi seperti yang diharapkan oleh indikator</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r>
      <w:tr w:rsidR="00DC0B60" w:rsidRPr="00DC0B60" w:rsidTr="00DC0B60">
        <w:trPr>
          <w:trHeight w:val="255"/>
        </w:trPr>
        <w:tc>
          <w:tcPr>
            <w:tcW w:w="714"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59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344"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255"/>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Isu dalam PGA REDD+</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1167"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xml:space="preserve">:  II. Pengaturan Hak  </w:t>
            </w:r>
          </w:p>
        </w:tc>
        <w:tc>
          <w:tcPr>
            <w:tcW w:w="1693"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1344"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1775"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p>
        </w:tc>
      </w:tr>
      <w:tr w:rsidR="00DC0B60" w:rsidRPr="00DC0B60" w:rsidTr="00DC0B60">
        <w:trPr>
          <w:trHeight w:val="6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Indikator</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7361" w:type="dxa"/>
            <w:gridSpan w:val="5"/>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xml:space="preserve">: a. Jumlah hak masyarakat dan bisnis yang telah diadministrasikan pada Unit yang mengadministrasikan hak </w:t>
            </w:r>
            <w:r w:rsidRPr="00DC0B60">
              <w:rPr>
                <w:rFonts w:ascii="Times New Roman" w:eastAsia="Times New Roman" w:hAnsi="Times New Roman" w:cs="Times New Roman"/>
                <w:b/>
                <w:bCs/>
                <w:color w:val="000000"/>
                <w:sz w:val="20"/>
                <w:szCs w:val="20"/>
                <w:lang w:eastAsia="id-ID"/>
              </w:rPr>
              <w:br/>
              <w:t xml:space="preserve">   masyarakat dan bisnis di Kementerian/SKPD </w:t>
            </w: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7361" w:type="dxa"/>
            <w:gridSpan w:val="5"/>
            <w:tcBorders>
              <w:top w:val="nil"/>
              <w:left w:val="nil"/>
              <w:bottom w:val="single" w:sz="4" w:space="0" w:color="auto"/>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xml:space="preserve"> : Kementerian/Dinas Kehutanan (Unit Pemberi Izin)</w:t>
            </w:r>
          </w:p>
        </w:tc>
      </w:tr>
      <w:tr w:rsidR="00DC0B60" w:rsidRPr="00DC0B60" w:rsidTr="00DC0B6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Kode</w:t>
            </w:r>
          </w:p>
        </w:tc>
        <w:tc>
          <w:tcPr>
            <w:tcW w:w="122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Panduan Analisis Dokumen</w:t>
            </w:r>
          </w:p>
        </w:tc>
        <w:tc>
          <w:tcPr>
            <w:tcW w:w="159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Pertanyaan Wawancara</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Dokumen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Dokumen</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Wawancara</w:t>
            </w:r>
          </w:p>
        </w:tc>
      </w:tr>
      <w:tr w:rsidR="00DC0B60" w:rsidRPr="00DC0B60" w:rsidTr="00DC0B60">
        <w:trPr>
          <w:trHeight w:val="1785"/>
        </w:trPr>
        <w:tc>
          <w:tcPr>
            <w:tcW w:w="714" w:type="dxa"/>
            <w:tcBorders>
              <w:top w:val="nil"/>
              <w:left w:val="single" w:sz="4" w:space="0" w:color="auto"/>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FIIa1</w:t>
            </w:r>
          </w:p>
        </w:tc>
        <w:tc>
          <w:tcPr>
            <w:tcW w:w="122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Jumlah hak masyarakat dan bisnis yang telah diadministra-sikan pada Unit yang mengad-ministrasikan hak masyarakat dan bisnis di Kementerian/SKPD  </w:t>
            </w:r>
          </w:p>
        </w:tc>
        <w:tc>
          <w:tcPr>
            <w:tcW w:w="1590"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Kehutanan</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Dokumen Statistik BBKSDA Tahun 2011 disebutkan terdapat 33 perusahaan terdaftar sebagai Perusahaan Pengedar Tumbuhan dan Satwa Liar dari Habitat Alam Tahun 2011.</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3</w:t>
            </w:r>
          </w:p>
        </w:tc>
        <w:tc>
          <w:tcPr>
            <w:tcW w:w="1775"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255"/>
        </w:trPr>
        <w:tc>
          <w:tcPr>
            <w:tcW w:w="714"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59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344"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6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lastRenderedPageBreak/>
              <w:t>Indikator</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7361" w:type="dxa"/>
            <w:gridSpan w:val="5"/>
            <w:tcBorders>
              <w:top w:val="nil"/>
              <w:left w:val="nil"/>
              <w:bottom w:val="nil"/>
              <w:right w:val="nil"/>
            </w:tcBorders>
            <w:shd w:val="clear" w:color="auto" w:fill="auto"/>
            <w:hideMark/>
          </w:tcPr>
          <w:p w:rsidR="00DC0B60" w:rsidRPr="00DC0B60" w:rsidRDefault="00DC0B60" w:rsidP="00DC0B60">
            <w:pPr>
              <w:spacing w:after="24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xml:space="preserve">: b. Jumlah hak masyarakat dan bisnis yang telah diadministrasikan pada Unit yang mengadministrasikan hak </w:t>
            </w:r>
            <w:r w:rsidRPr="00DC0B60">
              <w:rPr>
                <w:rFonts w:ascii="Times New Roman" w:eastAsia="Times New Roman" w:hAnsi="Times New Roman" w:cs="Times New Roman"/>
                <w:b/>
                <w:bCs/>
                <w:color w:val="000000"/>
                <w:sz w:val="20"/>
                <w:szCs w:val="20"/>
                <w:lang w:eastAsia="id-ID"/>
              </w:rPr>
              <w:br/>
              <w:t xml:space="preserve">   masyarakat dan bisnis di Kementerian/SKPD </w:t>
            </w:r>
            <w:r w:rsidRPr="00DC0B60">
              <w:rPr>
                <w:rFonts w:ascii="Times New Roman" w:eastAsia="Times New Roman" w:hAnsi="Times New Roman" w:cs="Times New Roman"/>
                <w:b/>
                <w:bCs/>
                <w:color w:val="000000"/>
                <w:sz w:val="20"/>
                <w:szCs w:val="20"/>
                <w:lang w:eastAsia="id-ID"/>
              </w:rPr>
              <w:br/>
              <w:t xml:space="preserve"> </w:t>
            </w:r>
          </w:p>
        </w:tc>
      </w:tr>
      <w:tr w:rsidR="00DC0B60" w:rsidRPr="00DC0B60" w:rsidTr="00DC0B60">
        <w:trPr>
          <w:trHeight w:val="6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7361" w:type="dxa"/>
            <w:gridSpan w:val="5"/>
            <w:tcBorders>
              <w:top w:val="nil"/>
              <w:left w:val="nil"/>
              <w:bottom w:val="single" w:sz="4" w:space="0" w:color="auto"/>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xml:space="preserve"> : Bagian Perencanaan (Dirjen Planologi, UPT/BPKH, Dinas Kehutanan Kabupaten);</w:t>
            </w:r>
            <w:r w:rsidRPr="00DC0B60">
              <w:rPr>
                <w:rFonts w:ascii="Times New Roman" w:eastAsia="Times New Roman" w:hAnsi="Times New Roman" w:cs="Times New Roman"/>
                <w:b/>
                <w:bCs/>
                <w:color w:val="000000"/>
                <w:sz w:val="20"/>
                <w:szCs w:val="20"/>
                <w:lang w:eastAsia="id-ID"/>
              </w:rPr>
              <w:br/>
              <w:t xml:space="preserve">  Kementerian/Dinas Kehutanan (Unit Pemberi Izin)</w:t>
            </w:r>
          </w:p>
        </w:tc>
      </w:tr>
      <w:tr w:rsidR="00DC0B60" w:rsidRPr="00DC0B60" w:rsidTr="00DC0B6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Kode</w:t>
            </w:r>
          </w:p>
        </w:tc>
        <w:tc>
          <w:tcPr>
            <w:tcW w:w="122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Panduan Analisis Dokumen</w:t>
            </w:r>
          </w:p>
        </w:tc>
        <w:tc>
          <w:tcPr>
            <w:tcW w:w="159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Pertanyaan Wawancara</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Dokumen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Dokumen</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Wawancara</w:t>
            </w:r>
          </w:p>
        </w:tc>
      </w:tr>
      <w:tr w:rsidR="00DC0B60" w:rsidRPr="00DC0B60" w:rsidTr="00DC0B60">
        <w:trPr>
          <w:trHeight w:val="1275"/>
        </w:trPr>
        <w:tc>
          <w:tcPr>
            <w:tcW w:w="714" w:type="dxa"/>
            <w:tcBorders>
              <w:top w:val="nil"/>
              <w:left w:val="single" w:sz="4" w:space="0" w:color="auto"/>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FIIb1</w:t>
            </w:r>
          </w:p>
        </w:tc>
        <w:tc>
          <w:tcPr>
            <w:tcW w:w="122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Jumlah luas kawasan hutan yang tumpang tindih dengan penggunaan lahan lain  </w:t>
            </w:r>
          </w:p>
        </w:tc>
        <w:tc>
          <w:tcPr>
            <w:tcW w:w="1590"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Kehutanan</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Dishut sedang dalam proses pemetaan dan padu serasi untuk TGHK dan RTRWP dalam Tim Terpadu Tata Ruang. Khawatir data yang diberikan tidak aktual atau belum fix. </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255"/>
        </w:trPr>
        <w:tc>
          <w:tcPr>
            <w:tcW w:w="714"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59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344"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345"/>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Indikator</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7361" w:type="dxa"/>
            <w:gridSpan w:val="5"/>
            <w:tcBorders>
              <w:top w:val="nil"/>
              <w:left w:val="nil"/>
              <w:bottom w:val="nil"/>
              <w:right w:val="nil"/>
            </w:tcBorders>
            <w:shd w:val="clear" w:color="auto" w:fill="auto"/>
            <w:hideMark/>
          </w:tcPr>
          <w:p w:rsidR="00DC0B60" w:rsidRPr="00DC0B60" w:rsidRDefault="00DC0B60" w:rsidP="00DC0B60">
            <w:pPr>
              <w:spacing w:after="24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xml:space="preserve">: c. Jumlah konflik antar sesama penggunaan kawasan hutan </w:t>
            </w:r>
            <w:r w:rsidRPr="00DC0B60">
              <w:rPr>
                <w:rFonts w:ascii="Times New Roman" w:eastAsia="Times New Roman" w:hAnsi="Times New Roman" w:cs="Times New Roman"/>
                <w:b/>
                <w:bCs/>
                <w:color w:val="000000"/>
                <w:sz w:val="20"/>
                <w:szCs w:val="20"/>
                <w:lang w:eastAsia="id-ID"/>
              </w:rPr>
              <w:br/>
              <w:t xml:space="preserve"> </w:t>
            </w: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7361" w:type="dxa"/>
            <w:gridSpan w:val="5"/>
            <w:tcBorders>
              <w:top w:val="nil"/>
              <w:left w:val="nil"/>
              <w:bottom w:val="single" w:sz="4" w:space="0" w:color="auto"/>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xml:space="preserve"> : Bagian Perencanaan (Dirjen Planologi, UPT/BPKH, Dinas Kehutanan Kabupaten); LSM  (Provinsi &amp; Daerah)</w:t>
            </w:r>
          </w:p>
        </w:tc>
      </w:tr>
      <w:tr w:rsidR="00DC0B60" w:rsidRPr="00DC0B60" w:rsidTr="00DC0B6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Kode</w:t>
            </w:r>
          </w:p>
        </w:tc>
        <w:tc>
          <w:tcPr>
            <w:tcW w:w="122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Panduan Analisis Dokumen</w:t>
            </w:r>
          </w:p>
        </w:tc>
        <w:tc>
          <w:tcPr>
            <w:tcW w:w="159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Pertanyaan Wawancara</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Dokumen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Dokumen</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Wawancara</w:t>
            </w:r>
          </w:p>
        </w:tc>
      </w:tr>
      <w:tr w:rsidR="00DC0B60" w:rsidRPr="00DC0B60" w:rsidTr="00DC0B60">
        <w:trPr>
          <w:trHeight w:val="765"/>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FIIc1</w:t>
            </w:r>
          </w:p>
        </w:tc>
        <w:tc>
          <w:tcPr>
            <w:tcW w:w="1220" w:type="dxa"/>
            <w:vMerge w:val="restart"/>
            <w:tcBorders>
              <w:top w:val="nil"/>
              <w:left w:val="single" w:sz="4" w:space="0" w:color="auto"/>
              <w:bottom w:val="single" w:sz="4" w:space="0" w:color="000000"/>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Jumlah konflik antar sesama penggunaan kawasan hutan </w:t>
            </w:r>
          </w:p>
        </w:tc>
        <w:tc>
          <w:tcPr>
            <w:tcW w:w="1590" w:type="dxa"/>
            <w:vMerge w:val="restart"/>
            <w:tcBorders>
              <w:top w:val="nil"/>
              <w:left w:val="single" w:sz="4" w:space="0" w:color="auto"/>
              <w:bottom w:val="single" w:sz="4" w:space="0" w:color="000000"/>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Kehutanan</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Dishut Provinsi tidak mendokumentasikan jumlah konflik.</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255"/>
        </w:trPr>
        <w:tc>
          <w:tcPr>
            <w:tcW w:w="714"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LSM</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Tidak ada dokumen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255"/>
        </w:trPr>
        <w:tc>
          <w:tcPr>
            <w:tcW w:w="714"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344"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Indikator</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7361" w:type="dxa"/>
            <w:gridSpan w:val="5"/>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d. Jumlah praktik terbaik (best practices) atas resolusi konflik terkait pengakuan hak masy adat/lokal</w:t>
            </w: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Wawancara - Sumber informasi</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7361" w:type="dxa"/>
            <w:gridSpan w:val="5"/>
            <w:tcBorders>
              <w:top w:val="nil"/>
              <w:left w:val="nil"/>
              <w:bottom w:val="single" w:sz="4" w:space="0" w:color="auto"/>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xml:space="preserve"> : Pemerintah (Pusat &amp; Daerah), LSM, AMAN</w:t>
            </w:r>
          </w:p>
        </w:tc>
      </w:tr>
      <w:tr w:rsidR="00DC0B60" w:rsidRPr="00DC0B60" w:rsidTr="00DC0B6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Kode</w:t>
            </w:r>
          </w:p>
        </w:tc>
        <w:tc>
          <w:tcPr>
            <w:tcW w:w="122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Panduan Analisis Dokumen</w:t>
            </w:r>
          </w:p>
        </w:tc>
        <w:tc>
          <w:tcPr>
            <w:tcW w:w="159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Pertanyaan Wawancara</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Dokumen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Dokumen</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Wawancara</w:t>
            </w:r>
          </w:p>
        </w:tc>
      </w:tr>
      <w:tr w:rsidR="00DC0B60" w:rsidRPr="00DC0B60" w:rsidTr="00DC0B60">
        <w:trPr>
          <w:trHeight w:val="2595"/>
        </w:trPr>
        <w:tc>
          <w:tcPr>
            <w:tcW w:w="714" w:type="dxa"/>
            <w:vMerge w:val="restart"/>
            <w:tcBorders>
              <w:top w:val="nil"/>
              <w:left w:val="single" w:sz="4" w:space="0" w:color="auto"/>
              <w:bottom w:val="single" w:sz="4" w:space="0" w:color="auto"/>
              <w:right w:val="single" w:sz="4" w:space="0" w:color="auto"/>
            </w:tcBorders>
            <w:shd w:val="clear" w:color="000000" w:fill="FFFF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220" w:type="dxa"/>
            <w:vMerge w:val="restart"/>
            <w:tcBorders>
              <w:top w:val="nil"/>
              <w:left w:val="single" w:sz="4" w:space="0" w:color="auto"/>
              <w:bottom w:val="single" w:sz="4" w:space="0" w:color="000000"/>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Jumlah praktik terbaik (best practices) atas resolusi konflik terkait pengakuan hak masyara-kat adat/lokal </w:t>
            </w:r>
          </w:p>
        </w:tc>
        <w:tc>
          <w:tcPr>
            <w:tcW w:w="1590" w:type="dxa"/>
            <w:vMerge w:val="restart"/>
            <w:tcBorders>
              <w:top w:val="nil"/>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Jumlah praktik terbaik (</w:t>
            </w:r>
            <w:r w:rsidRPr="00DC0B60">
              <w:rPr>
                <w:rFonts w:ascii="Times New Roman" w:eastAsia="Times New Roman" w:hAnsi="Times New Roman" w:cs="Times New Roman"/>
                <w:i/>
                <w:iCs/>
                <w:color w:val="000000"/>
                <w:sz w:val="20"/>
                <w:szCs w:val="20"/>
                <w:lang w:eastAsia="id-ID"/>
              </w:rPr>
              <w:t>best practices</w:t>
            </w:r>
            <w:r w:rsidRPr="00DC0B60">
              <w:rPr>
                <w:rFonts w:ascii="Times New Roman" w:eastAsia="Times New Roman" w:hAnsi="Times New Roman" w:cs="Times New Roman"/>
                <w:color w:val="000000"/>
                <w:sz w:val="20"/>
                <w:szCs w:val="20"/>
                <w:lang w:eastAsia="id-ID"/>
              </w:rPr>
              <w:t>) atas resolusi konflik terkait pengakuan hak masyarakat adat/lokal</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Kehutanan</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Belum ada best practice terkait resolusi konflik. Maka tidak ada dokumen.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Belum ada karena masing-masing penanganan konflik berbeda-beda. Sejauh ini jarang ada konflik yang terselesaikan dengan baik. Konflik yang sangat sering terjadi adalah antara masyarakat dengan PT. Riau Andalan Pulp and Paper (PT. RAPP) </w:t>
            </w:r>
            <w:r w:rsidRPr="00DC0B60">
              <w:rPr>
                <w:rFonts w:ascii="Times New Roman" w:eastAsia="Times New Roman" w:hAnsi="Times New Roman" w:cs="Times New Roman"/>
                <w:color w:val="000000"/>
                <w:sz w:val="20"/>
                <w:szCs w:val="20"/>
                <w:lang w:eastAsia="id-ID"/>
              </w:rPr>
              <w:lastRenderedPageBreak/>
              <w:t>pengelola HTI akasia dengan total areal kurang lebih 350.000 hektar. Konflik juga terjadi antara perambah hutan dengan Pengelola Taman Nasional Teso Nilo.</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lastRenderedPageBreak/>
              <w:t>1</w:t>
            </w:r>
          </w:p>
        </w:tc>
      </w:tr>
      <w:tr w:rsidR="00DC0B60" w:rsidRPr="00DC0B60" w:rsidTr="00DC0B60">
        <w:trPr>
          <w:trHeight w:val="765"/>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LSM</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Tidak ada dokumentasi best practice</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Belum ada best practice, kalau pun ada apakah menjamin dapat diimplememntasikan pada kasus lainnya?</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r>
      <w:tr w:rsidR="00DC0B60" w:rsidRPr="00DC0B60" w:rsidTr="00DC0B60">
        <w:trPr>
          <w:trHeight w:val="765"/>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Organisasi Masyarakat Adat Lokal</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Tidak ada dokumentasi</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Belum ada best practice</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r>
      <w:tr w:rsidR="00DC0B60" w:rsidRPr="00DC0B60" w:rsidTr="00DC0B60">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FIId1</w:t>
            </w:r>
          </w:p>
        </w:tc>
        <w:tc>
          <w:tcPr>
            <w:tcW w:w="1220" w:type="dxa"/>
            <w:vMerge w:val="restart"/>
            <w:tcBorders>
              <w:top w:val="nil"/>
              <w:left w:val="single" w:sz="4" w:space="0" w:color="auto"/>
              <w:bottom w:val="single" w:sz="4" w:space="0" w:color="000000"/>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Pencegahan kekerasan</w:t>
            </w:r>
          </w:p>
        </w:tc>
        <w:tc>
          <w:tcPr>
            <w:tcW w:w="1590" w:type="dxa"/>
            <w:vMerge w:val="restart"/>
            <w:tcBorders>
              <w:top w:val="nil"/>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Apakah resolusi konflik terkait pengakuan hak masy adat/lokal sudah mencakup pencegahan kekerasan?</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Kehutanan</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Dalam Renstra, RKA maupun LAKIP tidak ditemui mata anggaran atau kegiatan terkait indikator</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Belum disusun, selama ini konflik cenderung mengambang, tidak terselesaikan</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r>
      <w:tr w:rsidR="00DC0B60" w:rsidRPr="00DC0B60" w:rsidTr="00DC0B60">
        <w:trPr>
          <w:trHeight w:val="2040"/>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LSM</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Dokumen tidak tersedia</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Scale Up memediasi konflik yang terkait dengan hutan, tapi sebenarnya LSM lebih sebagai support, karena resolusi konflik yang konmprehensif hanya dapat dilakukan dengan peraturan dan penegakan hukum yang dilakukan pemerintah. Tanpa itu, resolusi apapun akan bersifat suplemen atau incremental saja.</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2</w:t>
            </w:r>
          </w:p>
        </w:tc>
      </w:tr>
      <w:tr w:rsidR="00DC0B60" w:rsidRPr="00DC0B60" w:rsidTr="00DC0B60">
        <w:trPr>
          <w:trHeight w:val="4080"/>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Organisasi Masyarakat Adat Lokal</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AMAN Riau tidak mendokumentasi data secara sistematis. Referensi atau data dimiliki oleh anggota AMAN secara pribadi.</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Selama ini pemerintah seolah menutup mata terhadap eksistensi masyarakat adat. Adat tidak dinilai sebagai komponen penting dalam masyarakat. Adat baru diperhitungkan menjelang pilkada, tapi setelah itu dilupakan, bahkan nilai menghalangi pembangunan. Kecuali sebuah organisasi adat yang diperdakan (Lembaga Adat Melayu).</w:t>
            </w:r>
            <w:r w:rsidRPr="00DC0B60">
              <w:rPr>
                <w:rFonts w:ascii="Times New Roman" w:eastAsia="Times New Roman" w:hAnsi="Times New Roman" w:cs="Times New Roman"/>
                <w:color w:val="1F497D"/>
                <w:sz w:val="20"/>
                <w:szCs w:val="20"/>
                <w:lang w:eastAsia="id-ID"/>
              </w:rPr>
              <w:t xml:space="preserve"> </w:t>
            </w:r>
            <w:r w:rsidRPr="00DC0B60">
              <w:rPr>
                <w:rFonts w:ascii="Times New Roman" w:eastAsia="Times New Roman" w:hAnsi="Times New Roman" w:cs="Times New Roman"/>
                <w:b/>
                <w:bCs/>
                <w:color w:val="1F497D"/>
                <w:sz w:val="20"/>
                <w:szCs w:val="20"/>
                <w:u w:val="single"/>
                <w:lang w:eastAsia="id-ID"/>
              </w:rPr>
              <w:t>Catatan peneliti</w:t>
            </w:r>
            <w:r w:rsidRPr="00DC0B60">
              <w:rPr>
                <w:rFonts w:ascii="Times New Roman" w:eastAsia="Times New Roman" w:hAnsi="Times New Roman" w:cs="Times New Roman"/>
                <w:color w:val="1F497D"/>
                <w:sz w:val="20"/>
                <w:szCs w:val="20"/>
                <w:lang w:eastAsia="id-ID"/>
              </w:rPr>
              <w:t>: AMAN Riau beranggotakan masyarakat adat Kampar beretnik Minang (kebanyakan berasal dari Piliang). Berasal dari Kecamatan Lipat Kain, Kab. Kampar. Berdasarkan sejarah lisan para tokoh adat, Desa Kuntu, Kec. Lipat Kain kab. Kampar adalah desa tua yang telah ada 500 tahun sebelum masehi.</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2</w:t>
            </w:r>
          </w:p>
        </w:tc>
      </w:tr>
      <w:tr w:rsidR="00DC0B60" w:rsidRPr="00DC0B60" w:rsidTr="00DC0B60">
        <w:trPr>
          <w:trHeight w:val="459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FIId2</w:t>
            </w:r>
          </w:p>
        </w:tc>
        <w:tc>
          <w:tcPr>
            <w:tcW w:w="1220" w:type="dxa"/>
            <w:vMerge w:val="restart"/>
            <w:tcBorders>
              <w:top w:val="nil"/>
              <w:left w:val="single" w:sz="4" w:space="0" w:color="auto"/>
              <w:bottom w:val="single" w:sz="4" w:space="0" w:color="000000"/>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Penyelesaian konflik</w:t>
            </w:r>
          </w:p>
        </w:tc>
        <w:tc>
          <w:tcPr>
            <w:tcW w:w="1590" w:type="dxa"/>
            <w:vMerge w:val="restart"/>
            <w:tcBorders>
              <w:top w:val="nil"/>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Apakah resolusi konflik terkait pengakuan hak masy adat/lokal sudah mencakup penyelesaian konflik?</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Kehutanan</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Tidak ada resolusi konflik dalam tupoksi ataupun dalam kegiatan Dishut Provinsi. Oleh karena itu tidak ada data yang berkaitan dengan indikator ini dalam dokumen Dishut Provinsi.</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Semua institusi pada dasarnya menangani konflik. Tapi penanganan konflik selama ini dilakukan masing-masing dan masih belum terstruktur. Formulanya belum ada yang baku. Resolusi konflik lebih bersifat hukum, tapi meskipun demikian hutan, baik hutan lindung atau konservasi mengalami degrasi. Demikian juga HTI semakin luas, dan semakin </w:t>
            </w:r>
            <w:r w:rsidRPr="00DC0B60">
              <w:rPr>
                <w:rFonts w:ascii="Times New Roman" w:eastAsia="Times New Roman" w:hAnsi="Times New Roman" w:cs="Times New Roman"/>
                <w:color w:val="000000"/>
                <w:sz w:val="20"/>
                <w:szCs w:val="20"/>
                <w:lang w:eastAsia="id-ID"/>
              </w:rPr>
              <w:lastRenderedPageBreak/>
              <w:t>memicu konflik dengan masyarakat sekitar yang hidupnya tergantung dengan hutan. Penegakan hukum yang dilakukan aparat tidak efektif, karena perambahan hutan dan illegal logging tetap terjadi bahkan semakin masif.  Polisi hutan tidak sampai menangani kasus, hanya sebatas data awal. Oleh karena itu konflik di tingkat masyarakat terus terjadi. Demikian pula dengan konflik yang berkaitan dengan masyarakat adat.</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lastRenderedPageBreak/>
              <w:t>1</w:t>
            </w:r>
          </w:p>
        </w:tc>
      </w:tr>
      <w:tr w:rsidR="00DC0B60" w:rsidRPr="00DC0B60" w:rsidTr="00DC0B60">
        <w:trPr>
          <w:trHeight w:val="2550"/>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LSM</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Data pendukung tidak tersedia</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Pemerintah terkesan bingung dalam menghadapi konflik kehutanan karena banyaknya kasus kehutanan di Riau. Konflik dengan masyarakat adat merupakan bagian konflik kehutanan antara masyarakat dengan pemerintah dan masyarakat dengan perusahaan. Jadi, resolusi konflik belum ada, pengakuan terhadap masyarakat adat sifatnya masih formalistik, belum menyentuh aspek yang substansial. </w:t>
            </w:r>
          </w:p>
        </w:tc>
        <w:tc>
          <w:tcPr>
            <w:tcW w:w="1382" w:type="dxa"/>
            <w:tcBorders>
              <w:top w:val="nil"/>
              <w:left w:val="nil"/>
              <w:bottom w:val="single" w:sz="4" w:space="0" w:color="auto"/>
              <w:right w:val="single" w:sz="4" w:space="0" w:color="auto"/>
            </w:tcBorders>
            <w:shd w:val="clear" w:color="000000" w:fill="FFFF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6885"/>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Organisasi Masyarakat Adat Lokal</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Penggunaan data BPS Provinsi Riau untuk memperjelas indepth interview berkaitan dengan indikator ini. Tidak ada data dokumen yang mendukung penjelasan informan.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Hak masyarakat adat saja tidak diakui, kecuali LAM karena LAM adalah kelompok adat Melayu yang merupakan mayoritas di Riau. LAM diperdakan oleh karenanya mendapatkan alokasi anggaran dari APBD. Jangankan resolusi yang berkaitan dengan hal tsb (indikator:pen), hak masyarakat adat pun tidak diakui secara formal. LAM diakui secara kelembagaannya saja, tapi untuk akses pengelolaan hutan tetap tidak mendapatkan akses. Sepanjang enclave belum diakui, masyarakat adat tetap terpinggirkan secara hukum. Tanpa pengakuan tersebut komunitas adat secara substansial tetap tidak berjalan. </w:t>
            </w:r>
            <w:r w:rsidRPr="00DC0B60">
              <w:rPr>
                <w:rFonts w:ascii="Times New Roman" w:eastAsia="Times New Roman" w:hAnsi="Times New Roman" w:cs="Times New Roman"/>
                <w:color w:val="1F497D"/>
                <w:sz w:val="20"/>
                <w:szCs w:val="20"/>
                <w:lang w:eastAsia="id-ID"/>
              </w:rPr>
              <w:t xml:space="preserve">Catatan peneliti: Komposisi etnik di Riau berdasarkan data BPS Provinsi Riau 2010 yaitu Melayu 37,74%, Jawa 25,05%, Minangkabau 11,26%, Batak 7,31%, Banjar 3,78%, Tionghoa 3,72% dan Bugis 2,27%. Etnik Melayu umumnya berasal dari daerah pesisir di Rokan Hilir, dumai, Bengkalis, Kepulauan Meranti, hingga ke Pelalawan, Siak, Inderagiri Hulu dan Inderagiri Hilir. Masyarakat asli beretnik </w:t>
            </w:r>
            <w:r w:rsidRPr="00DC0B60">
              <w:rPr>
                <w:rFonts w:ascii="Times New Roman" w:eastAsia="Times New Roman" w:hAnsi="Times New Roman" w:cs="Times New Roman"/>
                <w:color w:val="1F497D"/>
                <w:sz w:val="20"/>
                <w:szCs w:val="20"/>
                <w:lang w:eastAsia="id-ID"/>
              </w:rPr>
              <w:lastRenderedPageBreak/>
              <w:t xml:space="preserve">rumpun Minangkabau terutama berasal dari daerah Rokan Hulu, Kampar, Kuantan Singingi dan sebagian Inderagiri Hulu. </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lastRenderedPageBreak/>
              <w:t>2</w:t>
            </w:r>
          </w:p>
        </w:tc>
      </w:tr>
      <w:tr w:rsidR="00DC0B60" w:rsidRPr="00DC0B60" w:rsidTr="00DC0B60">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lastRenderedPageBreak/>
              <w:t>FIId3</w:t>
            </w:r>
          </w:p>
        </w:tc>
        <w:tc>
          <w:tcPr>
            <w:tcW w:w="1220" w:type="dxa"/>
            <w:vMerge w:val="restart"/>
            <w:tcBorders>
              <w:top w:val="nil"/>
              <w:left w:val="single" w:sz="4" w:space="0" w:color="auto"/>
              <w:bottom w:val="single" w:sz="4" w:space="0" w:color="000000"/>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Penerimaan para pihak</w:t>
            </w:r>
          </w:p>
        </w:tc>
        <w:tc>
          <w:tcPr>
            <w:tcW w:w="1590" w:type="dxa"/>
            <w:vMerge w:val="restart"/>
            <w:tcBorders>
              <w:top w:val="nil"/>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Apakah resolusi konflik terkait pengakuan hak masy adat/lokal sudah mencakup penerimaan para pihak?</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Kehutanan</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Dokumen tidak tersedia</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Pertanyaan selanjutnya kurang tidak relevan lagi karena berkaitan dengan pertanyaan sebelumnya.</w:t>
            </w:r>
          </w:p>
        </w:tc>
        <w:tc>
          <w:tcPr>
            <w:tcW w:w="1382" w:type="dxa"/>
            <w:tcBorders>
              <w:top w:val="nil"/>
              <w:left w:val="nil"/>
              <w:bottom w:val="single" w:sz="4" w:space="0" w:color="auto"/>
              <w:right w:val="single" w:sz="4" w:space="0" w:color="auto"/>
            </w:tcBorders>
            <w:shd w:val="clear" w:color="000000" w:fill="FFFF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765"/>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LSM</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Dokumen tidak tersedia</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Pertanyaan selanjutnya kurang tidak relevan lagi karena berkaitan dengan pertanyaan sebelumnya.</w:t>
            </w:r>
          </w:p>
        </w:tc>
        <w:tc>
          <w:tcPr>
            <w:tcW w:w="1382" w:type="dxa"/>
            <w:tcBorders>
              <w:top w:val="nil"/>
              <w:left w:val="nil"/>
              <w:bottom w:val="single" w:sz="4" w:space="0" w:color="auto"/>
              <w:right w:val="single" w:sz="4" w:space="0" w:color="auto"/>
            </w:tcBorders>
            <w:shd w:val="clear" w:color="000000" w:fill="FFFF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765"/>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Organisasi Masyarakat Adat Lokal</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Dokumen tidak tersedia</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Pertanyaan selanjutnya kurang tidak relevan lagi karena berkaitan dengan pertanyaan sebelumnya.</w:t>
            </w:r>
          </w:p>
        </w:tc>
        <w:tc>
          <w:tcPr>
            <w:tcW w:w="1382" w:type="dxa"/>
            <w:tcBorders>
              <w:top w:val="nil"/>
              <w:left w:val="nil"/>
              <w:bottom w:val="single" w:sz="4" w:space="0" w:color="auto"/>
              <w:right w:val="single" w:sz="4" w:space="0" w:color="auto"/>
            </w:tcBorders>
            <w:shd w:val="clear" w:color="000000" w:fill="FFFF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FIId4</w:t>
            </w:r>
          </w:p>
        </w:tc>
        <w:tc>
          <w:tcPr>
            <w:tcW w:w="1220" w:type="dxa"/>
            <w:vMerge w:val="restart"/>
            <w:tcBorders>
              <w:top w:val="nil"/>
              <w:left w:val="single" w:sz="4" w:space="0" w:color="auto"/>
              <w:bottom w:val="single" w:sz="4" w:space="0" w:color="000000"/>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Komitmen tetap dijalankan</w:t>
            </w:r>
          </w:p>
        </w:tc>
        <w:tc>
          <w:tcPr>
            <w:tcW w:w="1590" w:type="dxa"/>
            <w:vMerge w:val="restart"/>
            <w:tcBorders>
              <w:top w:val="nil"/>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Apakah dalam resolusi konflik terkait pengakuan hak masyarakat adat/lokal, komitmen yang ada tetap dijalankan?</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Kehutanan</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Dokumen tidak tersedia</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Pertanyaan selanjutnya kurang tidak relevan lagi karena berkaitan dengan pertanyaan sebelumnya.</w:t>
            </w:r>
          </w:p>
        </w:tc>
        <w:tc>
          <w:tcPr>
            <w:tcW w:w="1382" w:type="dxa"/>
            <w:tcBorders>
              <w:top w:val="nil"/>
              <w:left w:val="nil"/>
              <w:bottom w:val="single" w:sz="4" w:space="0" w:color="auto"/>
              <w:right w:val="single" w:sz="4" w:space="0" w:color="auto"/>
            </w:tcBorders>
            <w:shd w:val="clear" w:color="000000" w:fill="FFFF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765"/>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LSM</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Dokumen tidak tersedia</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Pertanyaan selanjutnya kurang tidak relevan lagi karena berkaitan dengan pertanyaan sebelumnya.</w:t>
            </w:r>
          </w:p>
        </w:tc>
        <w:tc>
          <w:tcPr>
            <w:tcW w:w="1382" w:type="dxa"/>
            <w:tcBorders>
              <w:top w:val="nil"/>
              <w:left w:val="nil"/>
              <w:bottom w:val="single" w:sz="4" w:space="0" w:color="auto"/>
              <w:right w:val="single" w:sz="4" w:space="0" w:color="auto"/>
            </w:tcBorders>
            <w:shd w:val="clear" w:color="000000" w:fill="FFFF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765"/>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Organisasi Masyarakat Adat Lokal</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Dokumen tidak tersedia</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Pertanyaan selanjutnya kurang tidak relevan lagi karena berkaitan dengan pertanyaan sebelumnya.</w:t>
            </w:r>
          </w:p>
        </w:tc>
        <w:tc>
          <w:tcPr>
            <w:tcW w:w="1382" w:type="dxa"/>
            <w:tcBorders>
              <w:top w:val="nil"/>
              <w:left w:val="nil"/>
              <w:bottom w:val="single" w:sz="4" w:space="0" w:color="auto"/>
              <w:right w:val="single" w:sz="4" w:space="0" w:color="auto"/>
            </w:tcBorders>
            <w:shd w:val="clear" w:color="000000" w:fill="FFFF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255"/>
        </w:trPr>
        <w:tc>
          <w:tcPr>
            <w:tcW w:w="714"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59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344"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Indikator</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7361" w:type="dxa"/>
            <w:gridSpan w:val="5"/>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e. Jumlah/frekuensi  dan kualitas pemberitaan terkait pengakuan hak masy adat/lokal meningkat</w:t>
            </w:r>
          </w:p>
        </w:tc>
      </w:tr>
      <w:tr w:rsidR="00DC0B60" w:rsidRPr="00DC0B60" w:rsidTr="00DC0B60">
        <w:trPr>
          <w:trHeight w:val="255"/>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7361" w:type="dxa"/>
            <w:gridSpan w:val="5"/>
            <w:tcBorders>
              <w:top w:val="nil"/>
              <w:left w:val="nil"/>
              <w:bottom w:val="single" w:sz="4" w:space="0" w:color="auto"/>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xml:space="preserve"> : Media cetak</w:t>
            </w:r>
          </w:p>
        </w:tc>
      </w:tr>
      <w:tr w:rsidR="00DC0B60" w:rsidRPr="00DC0B60" w:rsidTr="00DC0B6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Kode</w:t>
            </w:r>
          </w:p>
        </w:tc>
        <w:tc>
          <w:tcPr>
            <w:tcW w:w="122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Panduan Analisis Dokumen</w:t>
            </w:r>
          </w:p>
        </w:tc>
        <w:tc>
          <w:tcPr>
            <w:tcW w:w="159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Pertanyaan Wawancara</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Dokumen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Dokumen</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Wawancara</w:t>
            </w:r>
          </w:p>
        </w:tc>
      </w:tr>
      <w:tr w:rsidR="00DC0B60" w:rsidRPr="00DC0B60" w:rsidTr="00DC0B60">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FIIe1</w:t>
            </w:r>
          </w:p>
        </w:tc>
        <w:tc>
          <w:tcPr>
            <w:tcW w:w="122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Jumlah/frekuensi  dan kualitas pemberitaan terkait pengakuan hak masy adat/lokal meningkat</w:t>
            </w:r>
          </w:p>
        </w:tc>
        <w:tc>
          <w:tcPr>
            <w:tcW w:w="159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Apakah jumlah/frekuensi  dan kua-litas pemberitaan terkait pengaku-an hak masy adat/lokal mening-kat?</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Jurnalis</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Tidak ada dokumentasi</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Pemberitaan tentang masyarakat adat kurang mendapatkan perhatian dari media baik cetak maupun elektronik. Berita ttg korupsi dan kriminal lebih dominan</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2</w:t>
            </w:r>
          </w:p>
        </w:tc>
      </w:tr>
      <w:tr w:rsidR="00DC0B60" w:rsidRPr="00DC0B60" w:rsidTr="00DC0B60">
        <w:trPr>
          <w:trHeight w:val="2955"/>
        </w:trPr>
        <w:tc>
          <w:tcPr>
            <w:tcW w:w="714" w:type="dxa"/>
            <w:tcBorders>
              <w:top w:val="nil"/>
              <w:left w:val="single" w:sz="4" w:space="0" w:color="auto"/>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FIIe2</w:t>
            </w:r>
          </w:p>
        </w:tc>
        <w:tc>
          <w:tcPr>
            <w:tcW w:w="122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Cakupan berita  mengenai pengakuan pejabat atas hak masyarakat adat</w:t>
            </w:r>
          </w:p>
        </w:tc>
        <w:tc>
          <w:tcPr>
            <w:tcW w:w="159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Apakah cakupan berita mengenai pengakuan pejabat atas hak ma-syarakat adat sudah memadai?</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Jurnalis</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Tidak ada dokumentasi</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Pemberitaan jika LAM mnegadakan acara pertemuan,  acara ramah tamah, atau diskusi lepas, karena tokoh-tokoh LAM banyak menduduki jabatan penting. Sebagai gambaran, di awal reformasi posisi PNS banyak di dominasi oleh mereka yang bergelar Raja, disusul oleh mereka yang bergelar Wan, Tengku dan Said. Mereka inilah yang saat ini mendominasi pemerintahan daerah di Riau. Tapi, hingga saat ini pemberitaan tentang masyarakat adat belum memadai.</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2</w:t>
            </w:r>
          </w:p>
        </w:tc>
      </w:tr>
      <w:tr w:rsidR="00DC0B60" w:rsidRPr="00DC0B60" w:rsidTr="00DC0B60">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FIIe3</w:t>
            </w:r>
          </w:p>
        </w:tc>
        <w:tc>
          <w:tcPr>
            <w:tcW w:w="122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Posisi berita dalam media cetak </w:t>
            </w:r>
          </w:p>
        </w:tc>
        <w:tc>
          <w:tcPr>
            <w:tcW w:w="159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Apakah Posisi berita dalam media cetak sudah memadai?</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Jurnalis</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Tidak ada dokumentasi</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Belum memadai, dominan kasus korupsi saat ini.</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2</w:t>
            </w:r>
          </w:p>
        </w:tc>
      </w:tr>
      <w:tr w:rsidR="00DC0B60" w:rsidRPr="00DC0B60" w:rsidTr="00DC0B60">
        <w:trPr>
          <w:trHeight w:val="2850"/>
        </w:trPr>
        <w:tc>
          <w:tcPr>
            <w:tcW w:w="714" w:type="dxa"/>
            <w:tcBorders>
              <w:top w:val="nil"/>
              <w:left w:val="single" w:sz="4" w:space="0" w:color="auto"/>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lastRenderedPageBreak/>
              <w:t>FIIe4</w:t>
            </w:r>
          </w:p>
        </w:tc>
        <w:tc>
          <w:tcPr>
            <w:tcW w:w="122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Posisi media dalam pemberitaan </w:t>
            </w:r>
          </w:p>
        </w:tc>
        <w:tc>
          <w:tcPr>
            <w:tcW w:w="159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Apakah Posisi media dalam pemberitaan sudah memadai?</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Jurnalis</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Tidak ada dokumentasi</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Kurang memadai, karena memang belum mengangkat angle tentang masyarakat adat. Pesta atau event adat relatif banyak mendapat perhatian dari media, tapi persoalan yang berkaitan dengan masyarakat adat belum mendapatkan perhatian yang cukup besar dari media. Hal ini bisa menjadi input bagi media untuk memberikan perhatian yang lebih besar terhadap masyarakat adat dan kompleksitas dalam konteks masyarakat yang sangat berubah.</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2</w:t>
            </w:r>
          </w:p>
        </w:tc>
      </w:tr>
      <w:tr w:rsidR="00DC0B60" w:rsidRPr="00DC0B60" w:rsidTr="00DC0B60">
        <w:trPr>
          <w:trHeight w:val="255"/>
        </w:trPr>
        <w:tc>
          <w:tcPr>
            <w:tcW w:w="714"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59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344"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255"/>
        </w:trPr>
        <w:tc>
          <w:tcPr>
            <w:tcW w:w="3524" w:type="dxa"/>
            <w:gridSpan w:val="3"/>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Isu dalam PGA REDD+</w:t>
            </w:r>
          </w:p>
        </w:tc>
        <w:tc>
          <w:tcPr>
            <w:tcW w:w="5979" w:type="dxa"/>
            <w:gridSpan w:val="4"/>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Indikator</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7361" w:type="dxa"/>
            <w:gridSpan w:val="5"/>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a. Jumlah biaya transaksi pengurusan izin pengelolaan hutankelola hutan dan lahan gambut</w:t>
            </w: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Wawancara – Sumber informasi</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7361" w:type="dxa"/>
            <w:gridSpan w:val="5"/>
            <w:tcBorders>
              <w:top w:val="nil"/>
              <w:left w:val="nil"/>
              <w:bottom w:val="single" w:sz="4" w:space="0" w:color="auto"/>
              <w:right w:val="nil"/>
            </w:tcBorders>
            <w:shd w:val="clear" w:color="auto" w:fill="auto"/>
            <w:hideMark/>
          </w:tcPr>
          <w:p w:rsidR="00DC0B60" w:rsidRPr="00DC0B60" w:rsidRDefault="00DC0B60" w:rsidP="00DC0B60">
            <w:pPr>
              <w:spacing w:after="24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Pengusaha, Organisasi Masyarakat Adat, LSM</w:t>
            </w:r>
          </w:p>
        </w:tc>
      </w:tr>
      <w:tr w:rsidR="00DC0B60" w:rsidRPr="00DC0B60" w:rsidTr="00DC0B6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Kode</w:t>
            </w:r>
          </w:p>
        </w:tc>
        <w:tc>
          <w:tcPr>
            <w:tcW w:w="122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Panduan Analisis Dokumen</w:t>
            </w:r>
          </w:p>
        </w:tc>
        <w:tc>
          <w:tcPr>
            <w:tcW w:w="159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Pertanyaan Wawancara</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Dokumen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Dokumen</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Wawancara</w:t>
            </w:r>
          </w:p>
        </w:tc>
      </w:tr>
      <w:tr w:rsidR="00DC0B60" w:rsidRPr="00DC0B60" w:rsidTr="00DC0B60">
        <w:trPr>
          <w:trHeight w:val="127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sz w:val="20"/>
                <w:szCs w:val="20"/>
                <w:lang w:eastAsia="id-ID"/>
              </w:rPr>
            </w:pPr>
            <w:r w:rsidRPr="00DC0B60">
              <w:rPr>
                <w:rFonts w:ascii="Times New Roman" w:eastAsia="Times New Roman" w:hAnsi="Times New Roman" w:cs="Times New Roman"/>
                <w:sz w:val="20"/>
                <w:szCs w:val="20"/>
                <w:lang w:eastAsia="id-ID"/>
              </w:rPr>
              <w:t>FIIIa1</w:t>
            </w:r>
          </w:p>
        </w:tc>
        <w:tc>
          <w:tcPr>
            <w:tcW w:w="1220" w:type="dxa"/>
            <w:vMerge w:val="restart"/>
            <w:tcBorders>
              <w:top w:val="nil"/>
              <w:left w:val="single" w:sz="4" w:space="0" w:color="auto"/>
              <w:bottom w:val="single" w:sz="4" w:space="0" w:color="000000"/>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r w:rsidRPr="00DC0B60">
              <w:rPr>
                <w:rFonts w:ascii="Times New Roman" w:eastAsia="Times New Roman" w:hAnsi="Times New Roman" w:cs="Times New Roman"/>
                <w:sz w:val="20"/>
                <w:szCs w:val="20"/>
                <w:lang w:eastAsia="id-ID"/>
              </w:rPr>
              <w:t xml:space="preserve">Jumlah biaya transaksi pengurusan izin pengelolaan hutan </w:t>
            </w:r>
          </w:p>
        </w:tc>
        <w:tc>
          <w:tcPr>
            <w:tcW w:w="1590" w:type="dxa"/>
            <w:vMerge w:val="restart"/>
            <w:tcBorders>
              <w:top w:val="nil"/>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Jumlah biaya transaksi pengurusan izin pengelolaan hutan</w:t>
            </w:r>
          </w:p>
        </w:tc>
        <w:tc>
          <w:tcPr>
            <w:tcW w:w="1167"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LSM</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Data tidak tersedia karena LSM tidak memiliki data biaya pengurusan dari Pemda</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Prosedur, mekanisme pengajuan dan biaya tidak diketahui, karena informasi hanya diketahui oleh orang-orang atau entitas yang memiliki bisnis di sektor kehutanan.</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2</w:t>
            </w:r>
          </w:p>
        </w:tc>
      </w:tr>
      <w:tr w:rsidR="00DC0B60" w:rsidRPr="00DC0B60" w:rsidTr="00DC0B60">
        <w:trPr>
          <w:trHeight w:val="1185"/>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Organisasi Masyarakat Adat Lokal</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Tidak tersedia data, masyarakat AMAN kurang dapat mengakses data perizinan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Tidak pernah mengetahui prosedur dan biaya yang pasti untuk mengurus izin pengelolaan hutan. Spenuhnya menjadi pengetahuan antara pengusaha dan pemerintah saja.</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2</w:t>
            </w:r>
          </w:p>
        </w:tc>
      </w:tr>
      <w:tr w:rsidR="00DC0B60" w:rsidRPr="00DC0B60" w:rsidTr="00DC0B60">
        <w:trPr>
          <w:trHeight w:val="255"/>
        </w:trPr>
        <w:tc>
          <w:tcPr>
            <w:tcW w:w="714"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59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344"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69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lastRenderedPageBreak/>
              <w:t>Indikator</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7361" w:type="dxa"/>
            <w:gridSpan w:val="5"/>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xml:space="preserve">: b. Kewenangan dan intervensi pemerintah dalam proses pengelolaan hutan yang menjadi domain pelaku </w:t>
            </w:r>
            <w:r w:rsidRPr="00DC0B60">
              <w:rPr>
                <w:rFonts w:ascii="Times New Roman" w:eastAsia="Times New Roman" w:hAnsi="Times New Roman" w:cs="Times New Roman"/>
                <w:b/>
                <w:bCs/>
                <w:color w:val="000000"/>
                <w:sz w:val="20"/>
                <w:szCs w:val="20"/>
                <w:lang w:eastAsia="id-ID"/>
              </w:rPr>
              <w:br/>
              <w:t xml:space="preserve">  pemegang ijin</w:t>
            </w: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7361" w:type="dxa"/>
            <w:gridSpan w:val="5"/>
            <w:tcBorders>
              <w:top w:val="nil"/>
              <w:left w:val="nil"/>
              <w:bottom w:val="single" w:sz="4" w:space="0" w:color="auto"/>
              <w:right w:val="nil"/>
            </w:tcBorders>
            <w:shd w:val="clear" w:color="auto" w:fill="auto"/>
            <w:hideMark/>
          </w:tcPr>
          <w:p w:rsidR="00DC0B60" w:rsidRPr="00DC0B60" w:rsidRDefault="00DC0B60" w:rsidP="00DC0B60">
            <w:pPr>
              <w:spacing w:after="24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Peraturan Prosedur Pelaksanaan Pengurusan Izin</w:t>
            </w:r>
          </w:p>
        </w:tc>
      </w:tr>
      <w:tr w:rsidR="00DC0B60" w:rsidRPr="00DC0B60" w:rsidTr="00DC0B6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Kode</w:t>
            </w:r>
          </w:p>
        </w:tc>
        <w:tc>
          <w:tcPr>
            <w:tcW w:w="122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Panduan Analisis Dokumen</w:t>
            </w:r>
          </w:p>
        </w:tc>
        <w:tc>
          <w:tcPr>
            <w:tcW w:w="159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Pertanyaan Wawancara</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Dokumen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Dokumen</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Wawancara</w:t>
            </w:r>
          </w:p>
        </w:tc>
      </w:tr>
      <w:tr w:rsidR="00DC0B60" w:rsidRPr="00DC0B60" w:rsidTr="00DC0B60">
        <w:trPr>
          <w:trHeight w:val="30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sz w:val="20"/>
                <w:szCs w:val="20"/>
                <w:lang w:eastAsia="id-ID"/>
              </w:rPr>
            </w:pPr>
            <w:r w:rsidRPr="00DC0B60">
              <w:rPr>
                <w:rFonts w:ascii="Times New Roman" w:eastAsia="Times New Roman" w:hAnsi="Times New Roman" w:cs="Times New Roman"/>
                <w:sz w:val="20"/>
                <w:szCs w:val="20"/>
                <w:lang w:eastAsia="id-ID"/>
              </w:rPr>
              <w:t>FIIIb1</w:t>
            </w:r>
          </w:p>
        </w:tc>
        <w:tc>
          <w:tcPr>
            <w:tcW w:w="1220" w:type="dxa"/>
            <w:vMerge w:val="restart"/>
            <w:tcBorders>
              <w:top w:val="nil"/>
              <w:left w:val="single" w:sz="4" w:space="0" w:color="auto"/>
              <w:bottom w:val="single" w:sz="4" w:space="0" w:color="000000"/>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r w:rsidRPr="00DC0B60">
              <w:rPr>
                <w:rFonts w:ascii="Times New Roman" w:eastAsia="Times New Roman" w:hAnsi="Times New Roman" w:cs="Times New Roman"/>
                <w:sz w:val="20"/>
                <w:szCs w:val="20"/>
                <w:lang w:eastAsia="id-ID"/>
              </w:rPr>
              <w:t xml:space="preserve">Jumlah tahapan dan bentuk persyaratan setiap tahapan dalam pengurusan izin </w:t>
            </w: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Kehutanan</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Semua ada di kementerian kehutanan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1650"/>
        </w:trPr>
        <w:tc>
          <w:tcPr>
            <w:tcW w:w="714"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p>
        </w:tc>
        <w:tc>
          <w:tcPr>
            <w:tcW w:w="159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Dinas Pertanian</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Lahan pertanian dikelola sendiri oleh masyarakat, jika tidak memiliki lahan mereka menyewa atau bagi hasil dengan pemiliki lahan. Pertanyaan tidak relevan diajukan kepada Dinas Pertanian.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000000" w:fill="000000"/>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765"/>
        </w:trPr>
        <w:tc>
          <w:tcPr>
            <w:tcW w:w="714"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p>
        </w:tc>
        <w:tc>
          <w:tcPr>
            <w:tcW w:w="159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BPN</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Tidak bersedia memberikan data karena Kanwil BPN Provinsi Riau tidak disebutkan sebagai instansi responden.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000000" w:fill="000000"/>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255"/>
        </w:trPr>
        <w:tc>
          <w:tcPr>
            <w:tcW w:w="714"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sz w:val="20"/>
                <w:szCs w:val="20"/>
                <w:lang w:eastAsia="id-ID"/>
              </w:rPr>
            </w:pPr>
          </w:p>
        </w:tc>
        <w:tc>
          <w:tcPr>
            <w:tcW w:w="122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p>
        </w:tc>
        <w:tc>
          <w:tcPr>
            <w:tcW w:w="159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344"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255"/>
        </w:trPr>
        <w:tc>
          <w:tcPr>
            <w:tcW w:w="3524" w:type="dxa"/>
            <w:gridSpan w:val="3"/>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Isu dalam PGA REDD+</w:t>
            </w:r>
          </w:p>
        </w:tc>
        <w:tc>
          <w:tcPr>
            <w:tcW w:w="5979" w:type="dxa"/>
            <w:gridSpan w:val="4"/>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63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Indikator</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7361" w:type="dxa"/>
            <w:gridSpan w:val="5"/>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xml:space="preserve">: a. Jumlah kelompok masyarakat adat/lokal yang secara faktual mengelola hutan, gambut, kebun, termasuk </w:t>
            </w:r>
            <w:r w:rsidRPr="00DC0B60">
              <w:rPr>
                <w:rFonts w:ascii="Times New Roman" w:eastAsia="Times New Roman" w:hAnsi="Times New Roman" w:cs="Times New Roman"/>
                <w:b/>
                <w:bCs/>
                <w:color w:val="000000"/>
                <w:sz w:val="20"/>
                <w:szCs w:val="20"/>
                <w:lang w:eastAsia="id-ID"/>
              </w:rPr>
              <w:br/>
              <w:t xml:space="preserve">  Izin HTR/Hutan Desa/Hutan Kemasyarakatan dalam satu provinsi/kab/kota</w:t>
            </w: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7361" w:type="dxa"/>
            <w:gridSpan w:val="5"/>
            <w:tcBorders>
              <w:top w:val="nil"/>
              <w:left w:val="nil"/>
              <w:bottom w:val="single" w:sz="4" w:space="0" w:color="auto"/>
              <w:right w:val="nil"/>
            </w:tcBorders>
            <w:shd w:val="clear" w:color="auto" w:fill="auto"/>
            <w:hideMark/>
          </w:tcPr>
          <w:p w:rsidR="00DC0B60" w:rsidRPr="00DC0B60" w:rsidRDefault="00DC0B60" w:rsidP="00DC0B60">
            <w:pPr>
              <w:spacing w:after="24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Kementerian &amp; Dinas Kehutanan, Kementerian &amp; Dinas Pertanian, BPN &amp; BPN-Daerah</w:t>
            </w:r>
          </w:p>
        </w:tc>
      </w:tr>
      <w:tr w:rsidR="00DC0B60" w:rsidRPr="00DC0B60" w:rsidTr="00DC0B6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Kode</w:t>
            </w:r>
          </w:p>
        </w:tc>
        <w:tc>
          <w:tcPr>
            <w:tcW w:w="122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Panduan Analisis Dokumen</w:t>
            </w:r>
          </w:p>
        </w:tc>
        <w:tc>
          <w:tcPr>
            <w:tcW w:w="159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Pertanyaan Wawancara</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Dokumen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Dokumen</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Wawancara</w:t>
            </w:r>
          </w:p>
        </w:tc>
      </w:tr>
      <w:tr w:rsidR="00DC0B60" w:rsidRPr="00DC0B60" w:rsidTr="00DC0B60">
        <w:trPr>
          <w:trHeight w:val="2400"/>
        </w:trPr>
        <w:tc>
          <w:tcPr>
            <w:tcW w:w="714" w:type="dxa"/>
            <w:vMerge w:val="restart"/>
            <w:tcBorders>
              <w:top w:val="nil"/>
              <w:left w:val="single" w:sz="4" w:space="0" w:color="auto"/>
              <w:bottom w:val="single" w:sz="4" w:space="0" w:color="000000"/>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sz w:val="20"/>
                <w:szCs w:val="20"/>
                <w:lang w:eastAsia="id-ID"/>
              </w:rPr>
            </w:pPr>
            <w:r w:rsidRPr="00DC0B60">
              <w:rPr>
                <w:rFonts w:ascii="Times New Roman" w:eastAsia="Times New Roman" w:hAnsi="Times New Roman" w:cs="Times New Roman"/>
                <w:sz w:val="20"/>
                <w:szCs w:val="20"/>
                <w:lang w:eastAsia="id-ID"/>
              </w:rPr>
              <w:t>FIVa1</w:t>
            </w:r>
          </w:p>
        </w:tc>
        <w:tc>
          <w:tcPr>
            <w:tcW w:w="1220" w:type="dxa"/>
            <w:vMerge w:val="restart"/>
            <w:tcBorders>
              <w:top w:val="nil"/>
              <w:left w:val="single" w:sz="4" w:space="0" w:color="auto"/>
              <w:bottom w:val="single" w:sz="4" w:space="0" w:color="000000"/>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r w:rsidRPr="00DC0B60">
              <w:rPr>
                <w:rFonts w:ascii="Times New Roman" w:eastAsia="Times New Roman" w:hAnsi="Times New Roman" w:cs="Times New Roman"/>
                <w:sz w:val="20"/>
                <w:szCs w:val="20"/>
                <w:lang w:eastAsia="id-ID"/>
              </w:rPr>
              <w:t>Jumlah kelompok masyarakat adat/lokal yang secara faktual mengelola hutan, gambut, ke-bun, termasuk Izin HTR/Hutan Desa/Hutan Kemasyarakatan dalam satu provinsi/kab/kota</w:t>
            </w:r>
          </w:p>
        </w:tc>
        <w:tc>
          <w:tcPr>
            <w:tcW w:w="1590" w:type="dxa"/>
            <w:vMerge w:val="restart"/>
            <w:tcBorders>
              <w:top w:val="nil"/>
              <w:left w:val="single" w:sz="4" w:space="0" w:color="auto"/>
              <w:bottom w:val="single" w:sz="4" w:space="0" w:color="000000"/>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Kehutanan</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Tidak ada kelompok masyarakat adat, lokal yang mengelola kebun/gambut karena izin pelepasan langsung ke kemenhut, harus berbadan hukum, tidak dapat dilakukan perorangan atau komunal. Tidak ada dokumen yang berkaitan dengan indikator ini.</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255"/>
        </w:trPr>
        <w:tc>
          <w:tcPr>
            <w:tcW w:w="714"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p>
        </w:tc>
        <w:tc>
          <w:tcPr>
            <w:tcW w:w="159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Dinas </w:t>
            </w:r>
            <w:r w:rsidRPr="00DC0B60">
              <w:rPr>
                <w:rFonts w:ascii="Times New Roman" w:eastAsia="Times New Roman" w:hAnsi="Times New Roman" w:cs="Times New Roman"/>
                <w:color w:val="000000"/>
                <w:sz w:val="20"/>
                <w:szCs w:val="20"/>
                <w:lang w:eastAsia="id-ID"/>
              </w:rPr>
              <w:lastRenderedPageBreak/>
              <w:t>Pertanian</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lastRenderedPageBreak/>
              <w:t xml:space="preserve">Bukan tupoksi </w:t>
            </w:r>
            <w:r w:rsidRPr="00DC0B60">
              <w:rPr>
                <w:rFonts w:ascii="Times New Roman" w:eastAsia="Times New Roman" w:hAnsi="Times New Roman" w:cs="Times New Roman"/>
                <w:color w:val="000000"/>
                <w:sz w:val="20"/>
                <w:szCs w:val="20"/>
                <w:lang w:eastAsia="id-ID"/>
              </w:rPr>
              <w:lastRenderedPageBreak/>
              <w:t>Dinas Pertanian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lastRenderedPageBreak/>
              <w:t>1</w:t>
            </w:r>
          </w:p>
        </w:tc>
        <w:tc>
          <w:tcPr>
            <w:tcW w:w="1775" w:type="dxa"/>
            <w:tcBorders>
              <w:top w:val="nil"/>
              <w:left w:val="nil"/>
              <w:bottom w:val="single" w:sz="4" w:space="0" w:color="auto"/>
              <w:right w:val="single" w:sz="4" w:space="0" w:color="auto"/>
            </w:tcBorders>
            <w:shd w:val="clear" w:color="000000" w:fill="000000"/>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255"/>
        </w:trPr>
        <w:tc>
          <w:tcPr>
            <w:tcW w:w="714"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p>
        </w:tc>
        <w:tc>
          <w:tcPr>
            <w:tcW w:w="159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BPN</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Bukan tupoksi BPN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000000" w:fill="000000"/>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255"/>
        </w:trPr>
        <w:tc>
          <w:tcPr>
            <w:tcW w:w="714"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sz w:val="20"/>
                <w:szCs w:val="20"/>
                <w:lang w:eastAsia="id-ID"/>
              </w:rPr>
            </w:pPr>
          </w:p>
        </w:tc>
        <w:tc>
          <w:tcPr>
            <w:tcW w:w="122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p>
        </w:tc>
        <w:tc>
          <w:tcPr>
            <w:tcW w:w="159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344"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Indikator</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7361" w:type="dxa"/>
            <w:gridSpan w:val="5"/>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b. Jumlah kawasan yang dikelola secara berkelanjutan oleh pelaku pengelolaan hutan</w:t>
            </w: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7361" w:type="dxa"/>
            <w:gridSpan w:val="5"/>
            <w:tcBorders>
              <w:top w:val="nil"/>
              <w:left w:val="nil"/>
              <w:bottom w:val="single" w:sz="4" w:space="0" w:color="auto"/>
              <w:right w:val="nil"/>
            </w:tcBorders>
            <w:shd w:val="clear" w:color="auto" w:fill="auto"/>
            <w:hideMark/>
          </w:tcPr>
          <w:p w:rsidR="00DC0B60" w:rsidRPr="00DC0B60" w:rsidRDefault="00DC0B60" w:rsidP="00DC0B60">
            <w:pPr>
              <w:spacing w:after="24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Pelaku Pemegang Izin, Kementerian &amp; Dinas Kehutanan (Provinsi &amp; Kabupaten)</w:t>
            </w:r>
          </w:p>
        </w:tc>
      </w:tr>
      <w:tr w:rsidR="00DC0B60" w:rsidRPr="00DC0B60" w:rsidTr="00DC0B6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Kode</w:t>
            </w:r>
          </w:p>
        </w:tc>
        <w:tc>
          <w:tcPr>
            <w:tcW w:w="122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Panduan Analisis Dokumen</w:t>
            </w:r>
          </w:p>
        </w:tc>
        <w:tc>
          <w:tcPr>
            <w:tcW w:w="159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Pertanyaan Wawancara</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Dokumen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Dokumen</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Wawancara</w:t>
            </w:r>
          </w:p>
        </w:tc>
      </w:tr>
      <w:tr w:rsidR="00DC0B60" w:rsidRPr="00DC0B60" w:rsidTr="00DC0B60">
        <w:trPr>
          <w:trHeight w:val="1560"/>
        </w:trPr>
        <w:tc>
          <w:tcPr>
            <w:tcW w:w="714" w:type="dxa"/>
            <w:tcBorders>
              <w:top w:val="nil"/>
              <w:left w:val="single" w:sz="4" w:space="0" w:color="auto"/>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sz w:val="20"/>
                <w:szCs w:val="20"/>
                <w:lang w:eastAsia="id-ID"/>
              </w:rPr>
            </w:pPr>
            <w:r w:rsidRPr="00DC0B60">
              <w:rPr>
                <w:rFonts w:ascii="Times New Roman" w:eastAsia="Times New Roman" w:hAnsi="Times New Roman" w:cs="Times New Roman"/>
                <w:sz w:val="20"/>
                <w:szCs w:val="20"/>
                <w:lang w:eastAsia="id-ID"/>
              </w:rPr>
              <w:t>FIVb1</w:t>
            </w:r>
          </w:p>
        </w:tc>
        <w:tc>
          <w:tcPr>
            <w:tcW w:w="122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r w:rsidRPr="00DC0B60">
              <w:rPr>
                <w:rFonts w:ascii="Times New Roman" w:eastAsia="Times New Roman" w:hAnsi="Times New Roman" w:cs="Times New Roman"/>
                <w:sz w:val="20"/>
                <w:szCs w:val="20"/>
                <w:lang w:eastAsia="id-ID"/>
              </w:rPr>
              <w:t xml:space="preserve">Jumlah kawasan yang dikelola secara berkelanjutan oleh pelaku pengelolaan hutan </w:t>
            </w:r>
          </w:p>
        </w:tc>
        <w:tc>
          <w:tcPr>
            <w:tcW w:w="159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Kehutanan</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Belum ditetapkan RTRWP Riau yang baru, masih menggunakan TGHK/1986, jadi belum ada ketentuan hutan berkelanjutan. Pemegang HTI pada umumnya tidak melakukan ketentuan  KPHP belum mengelola hutan.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255"/>
        </w:trPr>
        <w:tc>
          <w:tcPr>
            <w:tcW w:w="714"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sz w:val="20"/>
                <w:szCs w:val="20"/>
                <w:lang w:eastAsia="id-ID"/>
              </w:rPr>
            </w:pPr>
          </w:p>
        </w:tc>
        <w:tc>
          <w:tcPr>
            <w:tcW w:w="122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p>
        </w:tc>
        <w:tc>
          <w:tcPr>
            <w:tcW w:w="159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344"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Indikator</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7361" w:type="dxa"/>
            <w:gridSpan w:val="5"/>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c. Persentase hutan yang memiliki pengelola (KPH)</w:t>
            </w: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7361" w:type="dxa"/>
            <w:gridSpan w:val="5"/>
            <w:tcBorders>
              <w:top w:val="nil"/>
              <w:left w:val="nil"/>
              <w:bottom w:val="single" w:sz="4" w:space="0" w:color="auto"/>
              <w:right w:val="nil"/>
            </w:tcBorders>
            <w:shd w:val="clear" w:color="auto" w:fill="auto"/>
            <w:hideMark/>
          </w:tcPr>
          <w:p w:rsidR="00DC0B60" w:rsidRPr="00DC0B60" w:rsidRDefault="00DC0B60" w:rsidP="00DC0B60">
            <w:pPr>
              <w:spacing w:after="24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Kementerian Kehutanan &amp; Dinas Kehutanan (Provinsi &amp; Kabupaten)</w:t>
            </w:r>
          </w:p>
        </w:tc>
      </w:tr>
      <w:tr w:rsidR="00DC0B60" w:rsidRPr="00DC0B60" w:rsidTr="00DC0B6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Kode</w:t>
            </w:r>
          </w:p>
        </w:tc>
        <w:tc>
          <w:tcPr>
            <w:tcW w:w="122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Panduan Analisis Dokumen</w:t>
            </w:r>
          </w:p>
        </w:tc>
        <w:tc>
          <w:tcPr>
            <w:tcW w:w="159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Pertanyaan Wawancara</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Dokumen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Dokumen</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Wawancara</w:t>
            </w:r>
          </w:p>
        </w:tc>
      </w:tr>
      <w:tr w:rsidR="00DC0B60" w:rsidRPr="00DC0B60" w:rsidTr="00DC0B60">
        <w:trPr>
          <w:trHeight w:val="1905"/>
        </w:trPr>
        <w:tc>
          <w:tcPr>
            <w:tcW w:w="714" w:type="dxa"/>
            <w:tcBorders>
              <w:top w:val="nil"/>
              <w:left w:val="single" w:sz="4" w:space="0" w:color="auto"/>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sz w:val="20"/>
                <w:szCs w:val="20"/>
                <w:lang w:eastAsia="id-ID"/>
              </w:rPr>
            </w:pPr>
            <w:r w:rsidRPr="00DC0B60">
              <w:rPr>
                <w:rFonts w:ascii="Times New Roman" w:eastAsia="Times New Roman" w:hAnsi="Times New Roman" w:cs="Times New Roman"/>
                <w:sz w:val="20"/>
                <w:szCs w:val="20"/>
                <w:lang w:eastAsia="id-ID"/>
              </w:rPr>
              <w:t>FIVc1</w:t>
            </w:r>
          </w:p>
        </w:tc>
        <w:tc>
          <w:tcPr>
            <w:tcW w:w="122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r w:rsidRPr="00DC0B60">
              <w:rPr>
                <w:rFonts w:ascii="Times New Roman" w:eastAsia="Times New Roman" w:hAnsi="Times New Roman" w:cs="Times New Roman"/>
                <w:sz w:val="20"/>
                <w:szCs w:val="20"/>
                <w:lang w:eastAsia="id-ID"/>
              </w:rPr>
              <w:t>Persentase hutan yang memiliki pengelola (KPH)</w:t>
            </w:r>
          </w:p>
        </w:tc>
        <w:tc>
          <w:tcPr>
            <w:tcW w:w="159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Kehutanan</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Belum diatur saat ini, KPH baru memiliki ketua, sedang disusun mekanisme berapa persentase hutan yang dapat dikelola KHP, kenyataannya wilayah kerja KPH pada umumnya adalah wilayah hutan yang sudah memiliki berizin HTI. Persoalan ini sedang dalam pembahasan. </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255"/>
        </w:trPr>
        <w:tc>
          <w:tcPr>
            <w:tcW w:w="714"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sz w:val="20"/>
                <w:szCs w:val="20"/>
                <w:lang w:eastAsia="id-ID"/>
              </w:rPr>
            </w:pPr>
          </w:p>
        </w:tc>
        <w:tc>
          <w:tcPr>
            <w:tcW w:w="122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p>
        </w:tc>
        <w:tc>
          <w:tcPr>
            <w:tcW w:w="159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344"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Indikator</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7361" w:type="dxa"/>
            <w:gridSpan w:val="5"/>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xml:space="preserve">: d. Jumlah pengelolaan hutan berbasis ecological services    </w:t>
            </w: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7361" w:type="dxa"/>
            <w:gridSpan w:val="5"/>
            <w:tcBorders>
              <w:top w:val="nil"/>
              <w:left w:val="nil"/>
              <w:bottom w:val="single" w:sz="4" w:space="0" w:color="auto"/>
              <w:right w:val="nil"/>
            </w:tcBorders>
            <w:shd w:val="clear" w:color="auto" w:fill="auto"/>
            <w:hideMark/>
          </w:tcPr>
          <w:p w:rsidR="00DC0B60" w:rsidRPr="00DC0B60" w:rsidRDefault="00DC0B60" w:rsidP="00DC0B60">
            <w:pPr>
              <w:spacing w:after="24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Kementerian Kehutanan (Dirjen PHKA, BUK), Dinas Kehutanan (Provinsi &amp; Kabupaten)</w:t>
            </w:r>
          </w:p>
        </w:tc>
      </w:tr>
      <w:tr w:rsidR="00DC0B60" w:rsidRPr="00DC0B60" w:rsidTr="00DC0B6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Kode</w:t>
            </w:r>
          </w:p>
        </w:tc>
        <w:tc>
          <w:tcPr>
            <w:tcW w:w="122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Panduan Analisis Dokumen</w:t>
            </w:r>
          </w:p>
        </w:tc>
        <w:tc>
          <w:tcPr>
            <w:tcW w:w="159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Pertanyaan Wawancara</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Dokumen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Dokumen</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Wawancara</w:t>
            </w:r>
          </w:p>
        </w:tc>
      </w:tr>
      <w:tr w:rsidR="00DC0B60" w:rsidRPr="00DC0B60" w:rsidTr="00DC0B60">
        <w:trPr>
          <w:trHeight w:val="1365"/>
        </w:trPr>
        <w:tc>
          <w:tcPr>
            <w:tcW w:w="714" w:type="dxa"/>
            <w:tcBorders>
              <w:top w:val="nil"/>
              <w:left w:val="single" w:sz="4" w:space="0" w:color="auto"/>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sz w:val="20"/>
                <w:szCs w:val="20"/>
                <w:lang w:eastAsia="id-ID"/>
              </w:rPr>
            </w:pPr>
            <w:r w:rsidRPr="00DC0B60">
              <w:rPr>
                <w:rFonts w:ascii="Times New Roman" w:eastAsia="Times New Roman" w:hAnsi="Times New Roman" w:cs="Times New Roman"/>
                <w:sz w:val="20"/>
                <w:szCs w:val="20"/>
                <w:lang w:eastAsia="id-ID"/>
              </w:rPr>
              <w:lastRenderedPageBreak/>
              <w:t>FIVd1</w:t>
            </w:r>
          </w:p>
        </w:tc>
        <w:tc>
          <w:tcPr>
            <w:tcW w:w="122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r w:rsidRPr="00DC0B60">
              <w:rPr>
                <w:rFonts w:ascii="Times New Roman" w:eastAsia="Times New Roman" w:hAnsi="Times New Roman" w:cs="Times New Roman"/>
                <w:sz w:val="20"/>
                <w:szCs w:val="20"/>
                <w:lang w:eastAsia="id-ID"/>
              </w:rPr>
              <w:t xml:space="preserve">Jumlah pengelolaan hutan berbasis ecological services </w:t>
            </w:r>
          </w:p>
        </w:tc>
        <w:tc>
          <w:tcPr>
            <w:tcW w:w="159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Kehutanan</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Belum ada, pemilik izin HTI tidak mengindahkan peraturan tentang buffer zone atau green belt seluruhnya digunakan untuk tanaman produktif (akasia dan sawit).</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255"/>
        </w:trPr>
        <w:tc>
          <w:tcPr>
            <w:tcW w:w="714"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sz w:val="20"/>
                <w:szCs w:val="20"/>
                <w:lang w:eastAsia="id-ID"/>
              </w:rPr>
            </w:pPr>
          </w:p>
        </w:tc>
        <w:tc>
          <w:tcPr>
            <w:tcW w:w="122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p>
        </w:tc>
        <w:tc>
          <w:tcPr>
            <w:tcW w:w="159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344"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255"/>
        </w:trPr>
        <w:tc>
          <w:tcPr>
            <w:tcW w:w="3524" w:type="dxa"/>
            <w:gridSpan w:val="3"/>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Isu dalam PGA REDD+</w:t>
            </w:r>
          </w:p>
        </w:tc>
        <w:tc>
          <w:tcPr>
            <w:tcW w:w="5979" w:type="dxa"/>
            <w:gridSpan w:val="4"/>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V. Pengendalian dan Penegakan Hukum</w:t>
            </w:r>
          </w:p>
        </w:tc>
        <w:tc>
          <w:tcPr>
            <w:tcW w:w="1382"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Indikator</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7361" w:type="dxa"/>
            <w:gridSpan w:val="5"/>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xml:space="preserve">: a. Jumlah pelanggaran penggunaan anggaran di tingkat provinsi dan kab/kota </w:t>
            </w: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7361" w:type="dxa"/>
            <w:gridSpan w:val="5"/>
            <w:tcBorders>
              <w:top w:val="nil"/>
              <w:left w:val="nil"/>
              <w:bottom w:val="single" w:sz="4" w:space="0" w:color="auto"/>
              <w:right w:val="nil"/>
            </w:tcBorders>
            <w:shd w:val="clear" w:color="auto" w:fill="auto"/>
            <w:hideMark/>
          </w:tcPr>
          <w:p w:rsidR="00DC0B60" w:rsidRPr="00DC0B60" w:rsidRDefault="00DC0B60" w:rsidP="00DC0B60">
            <w:pPr>
              <w:spacing w:after="24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Laporan Inspektorat, BPKP &amp; BPK, Bawasda</w:t>
            </w:r>
          </w:p>
        </w:tc>
      </w:tr>
      <w:tr w:rsidR="00DC0B60" w:rsidRPr="00DC0B60" w:rsidTr="00DC0B6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Kode</w:t>
            </w:r>
          </w:p>
        </w:tc>
        <w:tc>
          <w:tcPr>
            <w:tcW w:w="122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Panduan Analisis Dokumen</w:t>
            </w:r>
          </w:p>
        </w:tc>
        <w:tc>
          <w:tcPr>
            <w:tcW w:w="159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Pertanyaan Wawancara</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Dokumen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Dokumen</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Wawancara</w:t>
            </w:r>
          </w:p>
        </w:tc>
      </w:tr>
      <w:tr w:rsidR="00DC0B60" w:rsidRPr="00DC0B60" w:rsidTr="00DC0B60">
        <w:trPr>
          <w:trHeight w:val="2205"/>
        </w:trPr>
        <w:tc>
          <w:tcPr>
            <w:tcW w:w="714" w:type="dxa"/>
            <w:tcBorders>
              <w:top w:val="nil"/>
              <w:left w:val="single" w:sz="4" w:space="0" w:color="auto"/>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sz w:val="20"/>
                <w:szCs w:val="20"/>
                <w:lang w:eastAsia="id-ID"/>
              </w:rPr>
            </w:pPr>
            <w:r w:rsidRPr="00DC0B60">
              <w:rPr>
                <w:rFonts w:ascii="Times New Roman" w:eastAsia="Times New Roman" w:hAnsi="Times New Roman" w:cs="Times New Roman"/>
                <w:sz w:val="20"/>
                <w:szCs w:val="20"/>
                <w:lang w:eastAsia="id-ID"/>
              </w:rPr>
              <w:t>FVa1</w:t>
            </w:r>
          </w:p>
        </w:tc>
        <w:tc>
          <w:tcPr>
            <w:tcW w:w="122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r w:rsidRPr="00DC0B60">
              <w:rPr>
                <w:rFonts w:ascii="Times New Roman" w:eastAsia="Times New Roman" w:hAnsi="Times New Roman" w:cs="Times New Roman"/>
                <w:sz w:val="20"/>
                <w:szCs w:val="20"/>
                <w:lang w:eastAsia="id-ID"/>
              </w:rPr>
              <w:t xml:space="preserve">Jumlah pelanggaran pengguna-an anggaran di tingkat provinsi dan kab/kota  </w:t>
            </w:r>
          </w:p>
        </w:tc>
        <w:tc>
          <w:tcPr>
            <w:tcW w:w="159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BPK, BPKP, BAWASDA, INSPEKTORAT</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Inspektorat tidak mempublikasikan Laporan Hasil Pemeriksaan (LHP) kepada pihak eksternal karena berdasarkan ketentuan LHP dilaporkan kepada BPK. BPK yang akan mengatur sirlakulasi data ekspos. Untuk mengakses data ekspos di prov Riau, UNDP dapat mengajukan permohonan tertulis dari BPK Pusat,</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255"/>
        </w:trPr>
        <w:tc>
          <w:tcPr>
            <w:tcW w:w="714"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sz w:val="20"/>
                <w:szCs w:val="20"/>
                <w:lang w:eastAsia="id-ID"/>
              </w:rPr>
            </w:pPr>
          </w:p>
        </w:tc>
        <w:tc>
          <w:tcPr>
            <w:tcW w:w="122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p>
        </w:tc>
        <w:tc>
          <w:tcPr>
            <w:tcW w:w="159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344"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Indikator</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7361" w:type="dxa"/>
            <w:gridSpan w:val="5"/>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b. Jumlah sanksi administratif serius (pencabutan izin, dan denda, yang telah dijatuhkan)</w:t>
            </w: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7361" w:type="dxa"/>
            <w:gridSpan w:val="5"/>
            <w:tcBorders>
              <w:top w:val="nil"/>
              <w:left w:val="nil"/>
              <w:bottom w:val="single" w:sz="4" w:space="0" w:color="auto"/>
              <w:right w:val="nil"/>
            </w:tcBorders>
            <w:shd w:val="clear" w:color="auto" w:fill="auto"/>
            <w:hideMark/>
          </w:tcPr>
          <w:p w:rsidR="00DC0B60" w:rsidRPr="00DC0B60" w:rsidRDefault="00DC0B60" w:rsidP="00DC0B60">
            <w:pPr>
              <w:spacing w:after="24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Kementrian &amp; Dinas Kehutanan</w:t>
            </w:r>
          </w:p>
        </w:tc>
      </w:tr>
      <w:tr w:rsidR="00DC0B60" w:rsidRPr="00DC0B60" w:rsidTr="00DC0B6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Kode</w:t>
            </w:r>
          </w:p>
        </w:tc>
        <w:tc>
          <w:tcPr>
            <w:tcW w:w="122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Panduan Analisis Dokumen</w:t>
            </w:r>
          </w:p>
        </w:tc>
        <w:tc>
          <w:tcPr>
            <w:tcW w:w="159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Pertanyaan Wawancara</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Dokumen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Dokumen</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Wawancara</w:t>
            </w:r>
          </w:p>
        </w:tc>
      </w:tr>
      <w:tr w:rsidR="00DC0B60" w:rsidRPr="00DC0B60" w:rsidTr="00DC0B60">
        <w:trPr>
          <w:trHeight w:val="3015"/>
        </w:trPr>
        <w:tc>
          <w:tcPr>
            <w:tcW w:w="714" w:type="dxa"/>
            <w:tcBorders>
              <w:top w:val="nil"/>
              <w:left w:val="single" w:sz="4" w:space="0" w:color="auto"/>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sz w:val="20"/>
                <w:szCs w:val="20"/>
                <w:lang w:eastAsia="id-ID"/>
              </w:rPr>
            </w:pPr>
            <w:r w:rsidRPr="00DC0B60">
              <w:rPr>
                <w:rFonts w:ascii="Times New Roman" w:eastAsia="Times New Roman" w:hAnsi="Times New Roman" w:cs="Times New Roman"/>
                <w:sz w:val="20"/>
                <w:szCs w:val="20"/>
                <w:lang w:eastAsia="id-ID"/>
              </w:rPr>
              <w:t>FVb1</w:t>
            </w:r>
          </w:p>
        </w:tc>
        <w:tc>
          <w:tcPr>
            <w:tcW w:w="122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r w:rsidRPr="00DC0B60">
              <w:rPr>
                <w:rFonts w:ascii="Times New Roman" w:eastAsia="Times New Roman" w:hAnsi="Times New Roman" w:cs="Times New Roman"/>
                <w:sz w:val="20"/>
                <w:szCs w:val="20"/>
                <w:lang w:eastAsia="id-ID"/>
              </w:rPr>
              <w:t>Jumlah sanksi administratif serius (pencabutan izin, dan denda, yang telah dijatuhkan)</w:t>
            </w:r>
          </w:p>
        </w:tc>
        <w:tc>
          <w:tcPr>
            <w:tcW w:w="159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Kehutanan</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Sanksi tidak dilakukan oleh dishut provinsi tapi pada pemberi izin yaitu Kemenhut. Tapi sejauh ini tidak ada perusahaan yang dikenai sanksi berat, meskipun banyak terjadi konflik. Justru sanksi </w:t>
            </w:r>
            <w:r w:rsidRPr="00DC0B60">
              <w:rPr>
                <w:rFonts w:ascii="Times New Roman" w:eastAsia="Times New Roman" w:hAnsi="Times New Roman" w:cs="Times New Roman"/>
                <w:color w:val="000000"/>
                <w:sz w:val="20"/>
                <w:szCs w:val="20"/>
                <w:lang w:eastAsia="id-ID"/>
              </w:rPr>
              <w:lastRenderedPageBreak/>
              <w:t>banyak menimpa Kepala Dinas Kehutanan atau Bupati berkaitan dengan kasus kehutanan. Tidak ada dokumen berkaitan dengan indikator ini karena tidak ada sanksi administratif serius. Pemberian sanksi bukan kewenangan dishut provinsi.</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lastRenderedPageBreak/>
              <w:t>1</w:t>
            </w:r>
          </w:p>
        </w:tc>
        <w:tc>
          <w:tcPr>
            <w:tcW w:w="1775"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255"/>
        </w:trPr>
        <w:tc>
          <w:tcPr>
            <w:tcW w:w="714"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sz w:val="20"/>
                <w:szCs w:val="20"/>
                <w:lang w:eastAsia="id-ID"/>
              </w:rPr>
            </w:pPr>
          </w:p>
        </w:tc>
        <w:tc>
          <w:tcPr>
            <w:tcW w:w="122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p>
        </w:tc>
        <w:tc>
          <w:tcPr>
            <w:tcW w:w="159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344"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Indikator</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7361" w:type="dxa"/>
            <w:gridSpan w:val="5"/>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xml:space="preserve">: c. Jumlah kasus pidana kehutanan yang diajukan/diproses oleh polisi </w:t>
            </w: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7361" w:type="dxa"/>
            <w:gridSpan w:val="5"/>
            <w:tcBorders>
              <w:top w:val="nil"/>
              <w:left w:val="nil"/>
              <w:bottom w:val="single" w:sz="4" w:space="0" w:color="auto"/>
              <w:right w:val="nil"/>
            </w:tcBorders>
            <w:shd w:val="clear" w:color="auto" w:fill="auto"/>
            <w:hideMark/>
          </w:tcPr>
          <w:p w:rsidR="00DC0B60" w:rsidRPr="00DC0B60" w:rsidRDefault="00DC0B60" w:rsidP="00DC0B60">
            <w:pPr>
              <w:spacing w:after="24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Kepolisian (Nasional &amp; Daerah)</w:t>
            </w:r>
          </w:p>
        </w:tc>
      </w:tr>
      <w:tr w:rsidR="00DC0B60" w:rsidRPr="00DC0B60" w:rsidTr="00DC0B6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Kode</w:t>
            </w:r>
          </w:p>
        </w:tc>
        <w:tc>
          <w:tcPr>
            <w:tcW w:w="122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Panduan Analisis Dokumen</w:t>
            </w:r>
          </w:p>
        </w:tc>
        <w:tc>
          <w:tcPr>
            <w:tcW w:w="159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Pertanyaan Wawancara</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Dokumen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Dokumen</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Wawancara</w:t>
            </w:r>
          </w:p>
        </w:tc>
      </w:tr>
      <w:tr w:rsidR="00DC0B60" w:rsidRPr="00DC0B60" w:rsidTr="00DC0B60">
        <w:trPr>
          <w:trHeight w:val="1020"/>
        </w:trPr>
        <w:tc>
          <w:tcPr>
            <w:tcW w:w="714" w:type="dxa"/>
            <w:tcBorders>
              <w:top w:val="nil"/>
              <w:left w:val="single" w:sz="4" w:space="0" w:color="auto"/>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sz w:val="20"/>
                <w:szCs w:val="20"/>
                <w:lang w:eastAsia="id-ID"/>
              </w:rPr>
            </w:pPr>
            <w:r w:rsidRPr="00DC0B60">
              <w:rPr>
                <w:rFonts w:ascii="Times New Roman" w:eastAsia="Times New Roman" w:hAnsi="Times New Roman" w:cs="Times New Roman"/>
                <w:sz w:val="20"/>
                <w:szCs w:val="20"/>
                <w:lang w:eastAsia="id-ID"/>
              </w:rPr>
              <w:t>FVc1</w:t>
            </w:r>
          </w:p>
        </w:tc>
        <w:tc>
          <w:tcPr>
            <w:tcW w:w="122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r w:rsidRPr="00DC0B60">
              <w:rPr>
                <w:rFonts w:ascii="Times New Roman" w:eastAsia="Times New Roman" w:hAnsi="Times New Roman" w:cs="Times New Roman"/>
                <w:sz w:val="20"/>
                <w:szCs w:val="20"/>
                <w:lang w:eastAsia="id-ID"/>
              </w:rPr>
              <w:t xml:space="preserve">Jumlah kasus pidana kehutanan yang diajukan/diproses oleh polisi </w:t>
            </w:r>
          </w:p>
        </w:tc>
        <w:tc>
          <w:tcPr>
            <w:tcW w:w="159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Polres</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Data Penanganan Kasus Illegal Logging oleh Polda Riau dan Jajaran Tahun 2010, 207 kasus; 2011, 57 kasus dan 2012, 41 kasus </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4</w:t>
            </w:r>
          </w:p>
        </w:tc>
        <w:tc>
          <w:tcPr>
            <w:tcW w:w="1775"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255"/>
        </w:trPr>
        <w:tc>
          <w:tcPr>
            <w:tcW w:w="714"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sz w:val="20"/>
                <w:szCs w:val="20"/>
                <w:lang w:eastAsia="id-ID"/>
              </w:rPr>
            </w:pPr>
          </w:p>
        </w:tc>
        <w:tc>
          <w:tcPr>
            <w:tcW w:w="122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p>
        </w:tc>
        <w:tc>
          <w:tcPr>
            <w:tcW w:w="159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344"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585"/>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Indikator</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7361" w:type="dxa"/>
            <w:gridSpan w:val="5"/>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xml:space="preserve">: d. Jumlah kasus terkait kehutanan (korupsi, AML, Pidanan LH, atau Pajak yang terkait kehutanan) yang </w:t>
            </w:r>
            <w:r w:rsidRPr="00DC0B60">
              <w:rPr>
                <w:rFonts w:ascii="Times New Roman" w:eastAsia="Times New Roman" w:hAnsi="Times New Roman" w:cs="Times New Roman"/>
                <w:b/>
                <w:bCs/>
                <w:color w:val="000000"/>
                <w:sz w:val="20"/>
                <w:szCs w:val="20"/>
                <w:lang w:eastAsia="id-ID"/>
              </w:rPr>
              <w:br/>
              <w:t xml:space="preserve">  diputuskan oleh MA</w:t>
            </w:r>
            <w:r w:rsidRPr="00DC0B60">
              <w:rPr>
                <w:rFonts w:ascii="Times New Roman" w:eastAsia="Times New Roman" w:hAnsi="Times New Roman" w:cs="Times New Roman"/>
                <w:b/>
                <w:bCs/>
                <w:color w:val="000000"/>
                <w:sz w:val="20"/>
                <w:szCs w:val="20"/>
                <w:lang w:eastAsia="id-ID"/>
              </w:rPr>
              <w:br/>
              <w:t xml:space="preserve"> </w:t>
            </w: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7361" w:type="dxa"/>
            <w:gridSpan w:val="5"/>
            <w:tcBorders>
              <w:top w:val="nil"/>
              <w:left w:val="nil"/>
              <w:bottom w:val="single" w:sz="4" w:space="0" w:color="auto"/>
              <w:right w:val="nil"/>
            </w:tcBorders>
            <w:shd w:val="clear" w:color="auto" w:fill="auto"/>
            <w:hideMark/>
          </w:tcPr>
          <w:p w:rsidR="00DC0B60" w:rsidRPr="00DC0B60" w:rsidRDefault="00DC0B60" w:rsidP="00DC0B60">
            <w:pPr>
              <w:spacing w:after="24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Kepolisian (Nasional &amp; Daerah)</w:t>
            </w:r>
          </w:p>
        </w:tc>
      </w:tr>
      <w:tr w:rsidR="00DC0B60" w:rsidRPr="00DC0B60" w:rsidTr="00DC0B6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Kode</w:t>
            </w:r>
          </w:p>
        </w:tc>
        <w:tc>
          <w:tcPr>
            <w:tcW w:w="122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Panduan Analisis Dokumen</w:t>
            </w:r>
          </w:p>
        </w:tc>
        <w:tc>
          <w:tcPr>
            <w:tcW w:w="159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Pertanyaan Wawancara</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Dokumen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Dokumen</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Wawancara</w:t>
            </w:r>
          </w:p>
        </w:tc>
      </w:tr>
      <w:tr w:rsidR="00DC0B60" w:rsidRPr="00DC0B60" w:rsidTr="00DC0B60">
        <w:trPr>
          <w:trHeight w:val="1500"/>
        </w:trPr>
        <w:tc>
          <w:tcPr>
            <w:tcW w:w="714" w:type="dxa"/>
            <w:tcBorders>
              <w:top w:val="nil"/>
              <w:left w:val="single" w:sz="4" w:space="0" w:color="auto"/>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sz w:val="20"/>
                <w:szCs w:val="20"/>
                <w:lang w:eastAsia="id-ID"/>
              </w:rPr>
            </w:pPr>
            <w:r w:rsidRPr="00DC0B60">
              <w:rPr>
                <w:rFonts w:ascii="Times New Roman" w:eastAsia="Times New Roman" w:hAnsi="Times New Roman" w:cs="Times New Roman"/>
                <w:sz w:val="20"/>
                <w:szCs w:val="20"/>
                <w:lang w:eastAsia="id-ID"/>
              </w:rPr>
              <w:t>FVd1</w:t>
            </w:r>
          </w:p>
        </w:tc>
        <w:tc>
          <w:tcPr>
            <w:tcW w:w="122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r w:rsidRPr="00DC0B60">
              <w:rPr>
                <w:rFonts w:ascii="Times New Roman" w:eastAsia="Times New Roman" w:hAnsi="Times New Roman" w:cs="Times New Roman"/>
                <w:sz w:val="20"/>
                <w:szCs w:val="20"/>
                <w:lang w:eastAsia="id-ID"/>
              </w:rPr>
              <w:t>Jumlah kasus terkait kehutanan (korupsi, AML, Pidanan LH, atau Pajak yang terkait kehutanan) yang diputuskan oleh MA</w:t>
            </w:r>
          </w:p>
        </w:tc>
        <w:tc>
          <w:tcPr>
            <w:tcW w:w="159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Polres</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Tidak ada</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255"/>
        </w:trPr>
        <w:tc>
          <w:tcPr>
            <w:tcW w:w="714"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sz w:val="20"/>
                <w:szCs w:val="20"/>
                <w:lang w:eastAsia="id-ID"/>
              </w:rPr>
            </w:pPr>
          </w:p>
        </w:tc>
        <w:tc>
          <w:tcPr>
            <w:tcW w:w="122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p>
        </w:tc>
        <w:tc>
          <w:tcPr>
            <w:tcW w:w="159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344"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Indikator</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7361" w:type="dxa"/>
            <w:gridSpan w:val="5"/>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e. Index integritas KPK sektor kehutanan</w:t>
            </w:r>
            <w:r w:rsidRPr="00DC0B60">
              <w:rPr>
                <w:rFonts w:ascii="Times New Roman" w:eastAsia="Times New Roman" w:hAnsi="Times New Roman" w:cs="Times New Roman"/>
                <w:b/>
                <w:bCs/>
                <w:color w:val="000000"/>
                <w:sz w:val="20"/>
                <w:szCs w:val="20"/>
                <w:lang w:eastAsia="id-ID"/>
              </w:rPr>
              <w:br/>
              <w:t xml:space="preserve"> </w:t>
            </w: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7361" w:type="dxa"/>
            <w:gridSpan w:val="5"/>
            <w:tcBorders>
              <w:top w:val="nil"/>
              <w:left w:val="nil"/>
              <w:bottom w:val="single" w:sz="4" w:space="0" w:color="auto"/>
              <w:right w:val="nil"/>
            </w:tcBorders>
            <w:shd w:val="clear" w:color="auto" w:fill="auto"/>
            <w:hideMark/>
          </w:tcPr>
          <w:p w:rsidR="00DC0B60" w:rsidRPr="00DC0B60" w:rsidRDefault="00DC0B60" w:rsidP="00DC0B60">
            <w:pPr>
              <w:spacing w:after="24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Hasil Survai KPK tentang Integritas</w:t>
            </w:r>
          </w:p>
        </w:tc>
      </w:tr>
      <w:tr w:rsidR="00DC0B60" w:rsidRPr="00DC0B60" w:rsidTr="00DC0B6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lastRenderedPageBreak/>
              <w:t>Kode</w:t>
            </w:r>
          </w:p>
        </w:tc>
        <w:tc>
          <w:tcPr>
            <w:tcW w:w="122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Panduan Analisis Dokumen</w:t>
            </w:r>
          </w:p>
        </w:tc>
        <w:tc>
          <w:tcPr>
            <w:tcW w:w="159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Pertanyaan Wawancara</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Dokumen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Dokumen</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Wawancara</w:t>
            </w:r>
          </w:p>
        </w:tc>
      </w:tr>
      <w:tr w:rsidR="00DC0B60" w:rsidRPr="00DC0B60" w:rsidTr="00DC0B60">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sz w:val="20"/>
                <w:szCs w:val="20"/>
                <w:lang w:eastAsia="id-ID"/>
              </w:rPr>
            </w:pPr>
            <w:r w:rsidRPr="00DC0B60">
              <w:rPr>
                <w:rFonts w:ascii="Times New Roman" w:eastAsia="Times New Roman" w:hAnsi="Times New Roman" w:cs="Times New Roman"/>
                <w:sz w:val="20"/>
                <w:szCs w:val="20"/>
                <w:lang w:eastAsia="id-ID"/>
              </w:rPr>
              <w:t>FVe1</w:t>
            </w:r>
          </w:p>
        </w:tc>
        <w:tc>
          <w:tcPr>
            <w:tcW w:w="122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r w:rsidRPr="00DC0B60">
              <w:rPr>
                <w:rFonts w:ascii="Times New Roman" w:eastAsia="Times New Roman" w:hAnsi="Times New Roman" w:cs="Times New Roman"/>
                <w:sz w:val="20"/>
                <w:szCs w:val="20"/>
                <w:lang w:eastAsia="id-ID"/>
              </w:rPr>
              <w:t>Index integritas KPK sektor kehutanan</w:t>
            </w:r>
          </w:p>
        </w:tc>
        <w:tc>
          <w:tcPr>
            <w:tcW w:w="159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KPK &amp; TII</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Tidak ada indeks integritas KPK regional</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255"/>
        </w:trPr>
        <w:tc>
          <w:tcPr>
            <w:tcW w:w="714"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sz w:val="20"/>
                <w:szCs w:val="20"/>
                <w:lang w:eastAsia="id-ID"/>
              </w:rPr>
            </w:pPr>
          </w:p>
        </w:tc>
        <w:tc>
          <w:tcPr>
            <w:tcW w:w="122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p>
        </w:tc>
        <w:tc>
          <w:tcPr>
            <w:tcW w:w="159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344"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Indikator</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7361" w:type="dxa"/>
            <w:gridSpan w:val="5"/>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f. Index persepsi korupsi di lokasi assesmen (TII)</w:t>
            </w:r>
            <w:r w:rsidRPr="00DC0B60">
              <w:rPr>
                <w:rFonts w:ascii="Times New Roman" w:eastAsia="Times New Roman" w:hAnsi="Times New Roman" w:cs="Times New Roman"/>
                <w:b/>
                <w:bCs/>
                <w:color w:val="000000"/>
                <w:sz w:val="20"/>
                <w:szCs w:val="20"/>
                <w:lang w:eastAsia="id-ID"/>
              </w:rPr>
              <w:br/>
            </w:r>
            <w:r w:rsidRPr="00DC0B60">
              <w:rPr>
                <w:rFonts w:ascii="Times New Roman" w:eastAsia="Times New Roman" w:hAnsi="Times New Roman" w:cs="Times New Roman"/>
                <w:b/>
                <w:bCs/>
                <w:color w:val="000000"/>
                <w:sz w:val="20"/>
                <w:szCs w:val="20"/>
                <w:lang w:eastAsia="id-ID"/>
              </w:rPr>
              <w:br/>
            </w:r>
            <w:r w:rsidRPr="00DC0B60">
              <w:rPr>
                <w:rFonts w:ascii="Times New Roman" w:eastAsia="Times New Roman" w:hAnsi="Times New Roman" w:cs="Times New Roman"/>
                <w:b/>
                <w:bCs/>
                <w:color w:val="000000"/>
                <w:sz w:val="20"/>
                <w:szCs w:val="20"/>
                <w:lang w:eastAsia="id-ID"/>
              </w:rPr>
              <w:br/>
              <w:t xml:space="preserve"> </w:t>
            </w: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7361" w:type="dxa"/>
            <w:gridSpan w:val="5"/>
            <w:tcBorders>
              <w:top w:val="nil"/>
              <w:left w:val="nil"/>
              <w:bottom w:val="single" w:sz="4" w:space="0" w:color="auto"/>
              <w:right w:val="nil"/>
            </w:tcBorders>
            <w:shd w:val="clear" w:color="auto" w:fill="auto"/>
            <w:hideMark/>
          </w:tcPr>
          <w:p w:rsidR="00DC0B60" w:rsidRPr="00DC0B60" w:rsidRDefault="00DC0B60" w:rsidP="00DC0B60">
            <w:pPr>
              <w:spacing w:after="24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Hasil Survai Persepsi Transparansi Internasional Indonesia (TII)</w:t>
            </w:r>
          </w:p>
        </w:tc>
      </w:tr>
      <w:tr w:rsidR="00DC0B60" w:rsidRPr="00DC0B60" w:rsidTr="00DC0B6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Kode</w:t>
            </w:r>
          </w:p>
        </w:tc>
        <w:tc>
          <w:tcPr>
            <w:tcW w:w="122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Panduan Analisis Dokumen</w:t>
            </w:r>
          </w:p>
        </w:tc>
        <w:tc>
          <w:tcPr>
            <w:tcW w:w="159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Pertanyaan Wawancara</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Dokumen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Dokumen</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Wawancara</w:t>
            </w:r>
          </w:p>
        </w:tc>
      </w:tr>
      <w:tr w:rsidR="00DC0B60" w:rsidRPr="00DC0B60" w:rsidTr="00DC0B60">
        <w:trPr>
          <w:trHeight w:val="510"/>
        </w:trPr>
        <w:tc>
          <w:tcPr>
            <w:tcW w:w="714" w:type="dxa"/>
            <w:tcBorders>
              <w:top w:val="nil"/>
              <w:left w:val="single" w:sz="4" w:space="0" w:color="auto"/>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sz w:val="20"/>
                <w:szCs w:val="20"/>
                <w:lang w:eastAsia="id-ID"/>
              </w:rPr>
            </w:pPr>
            <w:r w:rsidRPr="00DC0B60">
              <w:rPr>
                <w:rFonts w:ascii="Times New Roman" w:eastAsia="Times New Roman" w:hAnsi="Times New Roman" w:cs="Times New Roman"/>
                <w:sz w:val="20"/>
                <w:szCs w:val="20"/>
                <w:lang w:eastAsia="id-ID"/>
              </w:rPr>
              <w:t>FVf1</w:t>
            </w:r>
          </w:p>
        </w:tc>
        <w:tc>
          <w:tcPr>
            <w:tcW w:w="122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r w:rsidRPr="00DC0B60">
              <w:rPr>
                <w:rFonts w:ascii="Times New Roman" w:eastAsia="Times New Roman" w:hAnsi="Times New Roman" w:cs="Times New Roman"/>
                <w:sz w:val="20"/>
                <w:szCs w:val="20"/>
                <w:lang w:eastAsia="id-ID"/>
              </w:rPr>
              <w:t xml:space="preserve">Index persepsi korupsi di lokasi assesmen (TII) </w:t>
            </w:r>
          </w:p>
        </w:tc>
        <w:tc>
          <w:tcPr>
            <w:tcW w:w="159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KPK &amp; TII</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Tidak ada indeks korupsi regional </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255"/>
        </w:trPr>
        <w:tc>
          <w:tcPr>
            <w:tcW w:w="714"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sz w:val="20"/>
                <w:szCs w:val="20"/>
                <w:lang w:eastAsia="id-ID"/>
              </w:rPr>
            </w:pPr>
          </w:p>
        </w:tc>
        <w:tc>
          <w:tcPr>
            <w:tcW w:w="122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p>
        </w:tc>
        <w:tc>
          <w:tcPr>
            <w:tcW w:w="159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344"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615"/>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Indikator</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7361" w:type="dxa"/>
            <w:gridSpan w:val="5"/>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xml:space="preserve">: g. Nilai kerugian negara pada Satuan Kerja Pengelola Hutan/Unit Pengelola Hutan, yang didasarkan atas </w:t>
            </w:r>
            <w:r w:rsidRPr="00DC0B60">
              <w:rPr>
                <w:rFonts w:ascii="Times New Roman" w:eastAsia="Times New Roman" w:hAnsi="Times New Roman" w:cs="Times New Roman"/>
                <w:b/>
                <w:bCs/>
                <w:color w:val="000000"/>
                <w:sz w:val="20"/>
                <w:szCs w:val="20"/>
                <w:lang w:eastAsia="id-ID"/>
              </w:rPr>
              <w:br/>
              <w:t xml:space="preserve">       hasil pemeriksaan Laporan Keuangan Satuan Kerja tersebut oleh BPK RI</w:t>
            </w:r>
            <w:r w:rsidRPr="00DC0B60">
              <w:rPr>
                <w:rFonts w:ascii="Times New Roman" w:eastAsia="Times New Roman" w:hAnsi="Times New Roman" w:cs="Times New Roman"/>
                <w:b/>
                <w:bCs/>
                <w:color w:val="000000"/>
                <w:sz w:val="20"/>
                <w:szCs w:val="20"/>
                <w:lang w:eastAsia="id-ID"/>
              </w:rPr>
              <w:br/>
            </w:r>
            <w:r w:rsidRPr="00DC0B60">
              <w:rPr>
                <w:rFonts w:ascii="Times New Roman" w:eastAsia="Times New Roman" w:hAnsi="Times New Roman" w:cs="Times New Roman"/>
                <w:b/>
                <w:bCs/>
                <w:color w:val="000000"/>
                <w:sz w:val="20"/>
                <w:szCs w:val="20"/>
                <w:lang w:eastAsia="id-ID"/>
              </w:rPr>
              <w:br/>
            </w:r>
            <w:r w:rsidRPr="00DC0B60">
              <w:rPr>
                <w:rFonts w:ascii="Times New Roman" w:eastAsia="Times New Roman" w:hAnsi="Times New Roman" w:cs="Times New Roman"/>
                <w:b/>
                <w:bCs/>
                <w:color w:val="000000"/>
                <w:sz w:val="20"/>
                <w:szCs w:val="20"/>
                <w:lang w:eastAsia="id-ID"/>
              </w:rPr>
              <w:br/>
            </w:r>
            <w:r w:rsidRPr="00DC0B60">
              <w:rPr>
                <w:rFonts w:ascii="Times New Roman" w:eastAsia="Times New Roman" w:hAnsi="Times New Roman" w:cs="Times New Roman"/>
                <w:b/>
                <w:bCs/>
                <w:color w:val="000000"/>
                <w:sz w:val="20"/>
                <w:szCs w:val="20"/>
                <w:lang w:eastAsia="id-ID"/>
              </w:rPr>
              <w:br/>
              <w:t xml:space="preserve"> </w:t>
            </w: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7361" w:type="dxa"/>
            <w:gridSpan w:val="5"/>
            <w:tcBorders>
              <w:top w:val="nil"/>
              <w:left w:val="nil"/>
              <w:bottom w:val="single" w:sz="4" w:space="0" w:color="auto"/>
              <w:right w:val="nil"/>
            </w:tcBorders>
            <w:shd w:val="clear" w:color="auto" w:fill="auto"/>
            <w:hideMark/>
          </w:tcPr>
          <w:p w:rsidR="00DC0B60" w:rsidRPr="00DC0B60" w:rsidRDefault="00DC0B60" w:rsidP="00DC0B60">
            <w:pPr>
              <w:spacing w:after="24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Laporan BPK</w:t>
            </w:r>
          </w:p>
        </w:tc>
      </w:tr>
      <w:tr w:rsidR="00DC0B60" w:rsidRPr="00DC0B60" w:rsidTr="00DC0B6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Kode</w:t>
            </w:r>
          </w:p>
        </w:tc>
        <w:tc>
          <w:tcPr>
            <w:tcW w:w="122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Panduan Analisis Dokumen</w:t>
            </w:r>
          </w:p>
        </w:tc>
        <w:tc>
          <w:tcPr>
            <w:tcW w:w="159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Pertanyaan Wawancara</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Dokumen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Dokumen</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Wawancara</w:t>
            </w:r>
          </w:p>
        </w:tc>
      </w:tr>
      <w:tr w:rsidR="00DC0B60" w:rsidRPr="00DC0B60" w:rsidTr="00DC0B60">
        <w:trPr>
          <w:trHeight w:val="2550"/>
        </w:trPr>
        <w:tc>
          <w:tcPr>
            <w:tcW w:w="714" w:type="dxa"/>
            <w:tcBorders>
              <w:top w:val="nil"/>
              <w:left w:val="single" w:sz="4" w:space="0" w:color="auto"/>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sz w:val="20"/>
                <w:szCs w:val="20"/>
                <w:lang w:eastAsia="id-ID"/>
              </w:rPr>
            </w:pPr>
            <w:r w:rsidRPr="00DC0B60">
              <w:rPr>
                <w:rFonts w:ascii="Times New Roman" w:eastAsia="Times New Roman" w:hAnsi="Times New Roman" w:cs="Times New Roman"/>
                <w:sz w:val="20"/>
                <w:szCs w:val="20"/>
                <w:lang w:eastAsia="id-ID"/>
              </w:rPr>
              <w:t>FVg1</w:t>
            </w:r>
          </w:p>
        </w:tc>
        <w:tc>
          <w:tcPr>
            <w:tcW w:w="122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r w:rsidRPr="00DC0B60">
              <w:rPr>
                <w:rFonts w:ascii="Times New Roman" w:eastAsia="Times New Roman" w:hAnsi="Times New Roman" w:cs="Times New Roman"/>
                <w:sz w:val="20"/>
                <w:szCs w:val="20"/>
                <w:lang w:eastAsia="id-ID"/>
              </w:rPr>
              <w:t xml:space="preserve">Nilai kerugian negara pada Sa-tuan Kerja Pengelola Hutan/ Unit Pengelola Hutan, yang didasarkan atas hasil pemerik-saan Laporan Keuangan Satuan Kerja tersebut oleh BPK RI.  </w:t>
            </w:r>
          </w:p>
        </w:tc>
        <w:tc>
          <w:tcPr>
            <w:tcW w:w="159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BPK, BPKP, BAWASDA, INSPEKTORAT</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Sesuai dengan tupoksi, inspektorat hanya memeriksa APBD yang berkaitan dengan tupoksi, kepegawaian, dokumen pendukung penggunaan anggaran seperti tanda bukti perjalanan dinas atau pembelanjaan, asset dan keterlambatan setor pajak. (Catatan: Bawasda telah diganti menjadi inspektorat. Jadi, inspektorat adalah badan pengawas anggaran di daerah). </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255"/>
        </w:trPr>
        <w:tc>
          <w:tcPr>
            <w:tcW w:w="714"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sz w:val="20"/>
                <w:szCs w:val="20"/>
                <w:lang w:eastAsia="id-ID"/>
              </w:rPr>
            </w:pPr>
          </w:p>
        </w:tc>
        <w:tc>
          <w:tcPr>
            <w:tcW w:w="122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p>
        </w:tc>
        <w:tc>
          <w:tcPr>
            <w:tcW w:w="159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344"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Indikator</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7361" w:type="dxa"/>
            <w:gridSpan w:val="5"/>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h. Jumlah pengaduan masyarakat tentang kinerja pengelolaan hutan</w:t>
            </w:r>
            <w:r w:rsidRPr="00DC0B60">
              <w:rPr>
                <w:rFonts w:ascii="Times New Roman" w:eastAsia="Times New Roman" w:hAnsi="Times New Roman" w:cs="Times New Roman"/>
                <w:b/>
                <w:bCs/>
                <w:color w:val="000000"/>
                <w:sz w:val="20"/>
                <w:szCs w:val="20"/>
                <w:lang w:eastAsia="id-ID"/>
              </w:rPr>
              <w:br/>
            </w:r>
            <w:r w:rsidRPr="00DC0B60">
              <w:rPr>
                <w:rFonts w:ascii="Times New Roman" w:eastAsia="Times New Roman" w:hAnsi="Times New Roman" w:cs="Times New Roman"/>
                <w:b/>
                <w:bCs/>
                <w:color w:val="000000"/>
                <w:sz w:val="20"/>
                <w:szCs w:val="20"/>
                <w:lang w:eastAsia="id-ID"/>
              </w:rPr>
              <w:br/>
            </w:r>
            <w:r w:rsidRPr="00DC0B60">
              <w:rPr>
                <w:rFonts w:ascii="Times New Roman" w:eastAsia="Times New Roman" w:hAnsi="Times New Roman" w:cs="Times New Roman"/>
                <w:b/>
                <w:bCs/>
                <w:color w:val="000000"/>
                <w:sz w:val="20"/>
                <w:szCs w:val="20"/>
                <w:lang w:eastAsia="id-ID"/>
              </w:rPr>
              <w:br/>
            </w:r>
            <w:r w:rsidRPr="00DC0B60">
              <w:rPr>
                <w:rFonts w:ascii="Times New Roman" w:eastAsia="Times New Roman" w:hAnsi="Times New Roman" w:cs="Times New Roman"/>
                <w:b/>
                <w:bCs/>
                <w:color w:val="000000"/>
                <w:sz w:val="20"/>
                <w:szCs w:val="20"/>
                <w:lang w:eastAsia="id-ID"/>
              </w:rPr>
              <w:br/>
              <w:t xml:space="preserve"> </w:t>
            </w: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7361" w:type="dxa"/>
            <w:gridSpan w:val="5"/>
            <w:tcBorders>
              <w:top w:val="nil"/>
              <w:left w:val="nil"/>
              <w:bottom w:val="single" w:sz="4" w:space="0" w:color="auto"/>
              <w:right w:val="nil"/>
            </w:tcBorders>
            <w:shd w:val="clear" w:color="auto" w:fill="auto"/>
            <w:hideMark/>
          </w:tcPr>
          <w:p w:rsidR="00DC0B60" w:rsidRPr="00DC0B60" w:rsidRDefault="00DC0B60" w:rsidP="00DC0B60">
            <w:pPr>
              <w:spacing w:after="24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Kementerian &amp; Dinas Kehutanan</w:t>
            </w:r>
          </w:p>
        </w:tc>
      </w:tr>
      <w:tr w:rsidR="00DC0B60" w:rsidRPr="00DC0B60" w:rsidTr="00DC0B6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Kode</w:t>
            </w:r>
          </w:p>
        </w:tc>
        <w:tc>
          <w:tcPr>
            <w:tcW w:w="122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Panduan Analisis Dokumen</w:t>
            </w:r>
          </w:p>
        </w:tc>
        <w:tc>
          <w:tcPr>
            <w:tcW w:w="159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Pertanyaan Wawancara</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Dokumen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Dokumen</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Wawancara</w:t>
            </w:r>
          </w:p>
        </w:tc>
      </w:tr>
      <w:tr w:rsidR="00DC0B60" w:rsidRPr="00DC0B60" w:rsidTr="00DC0B60">
        <w:trPr>
          <w:trHeight w:val="2805"/>
        </w:trPr>
        <w:tc>
          <w:tcPr>
            <w:tcW w:w="714" w:type="dxa"/>
            <w:tcBorders>
              <w:top w:val="nil"/>
              <w:left w:val="single" w:sz="4" w:space="0" w:color="auto"/>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sz w:val="20"/>
                <w:szCs w:val="20"/>
                <w:lang w:eastAsia="id-ID"/>
              </w:rPr>
            </w:pPr>
            <w:r w:rsidRPr="00DC0B60">
              <w:rPr>
                <w:rFonts w:ascii="Times New Roman" w:eastAsia="Times New Roman" w:hAnsi="Times New Roman" w:cs="Times New Roman"/>
                <w:sz w:val="20"/>
                <w:szCs w:val="20"/>
                <w:lang w:eastAsia="id-ID"/>
              </w:rPr>
              <w:t>FVh1</w:t>
            </w:r>
          </w:p>
        </w:tc>
        <w:tc>
          <w:tcPr>
            <w:tcW w:w="122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r w:rsidRPr="00DC0B60">
              <w:rPr>
                <w:rFonts w:ascii="Times New Roman" w:eastAsia="Times New Roman" w:hAnsi="Times New Roman" w:cs="Times New Roman"/>
                <w:sz w:val="20"/>
                <w:szCs w:val="20"/>
                <w:lang w:eastAsia="id-ID"/>
              </w:rPr>
              <w:t xml:space="preserve">Jumlah pengaduan masyarakat tentang kinerja pengelolaan hutan </w:t>
            </w:r>
          </w:p>
        </w:tc>
        <w:tc>
          <w:tcPr>
            <w:tcW w:w="159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Kehutanan</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Tidak ada dokumentasi. Menurut penjelasan Kabag Planologi dishut provinsi hanya memfasilitasi. Masyarakat mengadu ke dishut di tingkat kabupaten atau ke DPRD. Dalam menangani pengaduan masyarakat, dishut provinsi merespon dengan menjadi saksi ahli di persidangan kasus kehutanan. Namun, jumlah  orang yang dikirim, berapa kali menjadi saksi ahli, juga jumlah kasus tidak terdokumentasikan.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255"/>
        </w:trPr>
        <w:tc>
          <w:tcPr>
            <w:tcW w:w="714"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sz w:val="20"/>
                <w:szCs w:val="20"/>
                <w:lang w:eastAsia="id-ID"/>
              </w:rPr>
            </w:pPr>
          </w:p>
        </w:tc>
        <w:tc>
          <w:tcPr>
            <w:tcW w:w="122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sz w:val="20"/>
                <w:szCs w:val="20"/>
                <w:lang w:eastAsia="id-ID"/>
              </w:rPr>
            </w:pPr>
          </w:p>
        </w:tc>
        <w:tc>
          <w:tcPr>
            <w:tcW w:w="159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344"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255"/>
        </w:trPr>
        <w:tc>
          <w:tcPr>
            <w:tcW w:w="3524" w:type="dxa"/>
            <w:gridSpan w:val="3"/>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Isu dalam PGA REDD+</w:t>
            </w:r>
          </w:p>
        </w:tc>
        <w:tc>
          <w:tcPr>
            <w:tcW w:w="5979" w:type="dxa"/>
            <w:gridSpan w:val="4"/>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VI. Infrastruktur REDD+</w:t>
            </w:r>
          </w:p>
        </w:tc>
        <w:tc>
          <w:tcPr>
            <w:tcW w:w="1382"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Indikator</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7361" w:type="dxa"/>
            <w:gridSpan w:val="5"/>
            <w:tcBorders>
              <w:top w:val="nil"/>
              <w:left w:val="nil"/>
              <w:bottom w:val="nil"/>
              <w:right w:val="nil"/>
            </w:tcBorders>
            <w:shd w:val="clear" w:color="auto" w:fill="auto"/>
            <w:hideMark/>
          </w:tcPr>
          <w:p w:rsidR="00DC0B60" w:rsidRPr="00DC0B60" w:rsidRDefault="00DC0B60" w:rsidP="00DC0B60">
            <w:pPr>
              <w:spacing w:after="24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a. Jumlah kelompok masyarakat adat/lokal dan bisnis yg dapat akses di dalam lokasi REDD+</w:t>
            </w: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informasi</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7361" w:type="dxa"/>
            <w:gridSpan w:val="5"/>
            <w:tcBorders>
              <w:top w:val="nil"/>
              <w:left w:val="nil"/>
              <w:bottom w:val="single" w:sz="4" w:space="0" w:color="auto"/>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Kementerian &amp; Dinas Kehutanan, Satgas REDD+, Organisasi Masyarakat  Adat/Lokal</w:t>
            </w:r>
          </w:p>
        </w:tc>
      </w:tr>
      <w:tr w:rsidR="00DC0B60" w:rsidRPr="00DC0B60" w:rsidTr="00DC0B6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Kode</w:t>
            </w:r>
          </w:p>
        </w:tc>
        <w:tc>
          <w:tcPr>
            <w:tcW w:w="122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Panduan Analisis Dokumen</w:t>
            </w:r>
          </w:p>
        </w:tc>
        <w:tc>
          <w:tcPr>
            <w:tcW w:w="159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Pertanyaan Wawancara</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Dokumen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Dokumen</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Wawancara</w:t>
            </w:r>
          </w:p>
        </w:tc>
      </w:tr>
      <w:tr w:rsidR="00DC0B60" w:rsidRPr="00DC0B60" w:rsidTr="00DC0B60">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FVIa1</w:t>
            </w:r>
          </w:p>
        </w:tc>
        <w:tc>
          <w:tcPr>
            <w:tcW w:w="1220" w:type="dxa"/>
            <w:vMerge w:val="restart"/>
            <w:tcBorders>
              <w:top w:val="nil"/>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Jumlah kelompok masyarakat adat/lokal dan bisnis yg dapat akses di dalam lokasi REDD+</w:t>
            </w:r>
          </w:p>
        </w:tc>
        <w:tc>
          <w:tcPr>
            <w:tcW w:w="1590" w:type="dxa"/>
            <w:vMerge w:val="restart"/>
            <w:tcBorders>
              <w:top w:val="nil"/>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Kehutanan</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Belum terpetakan karena kegiatan baru pada posisi pembentukan kelembagaan saja.</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930"/>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Satgas REDD+</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Belum terpetakan karena kegiatan baru pada posisi pembentukan kelembagaan saja.</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c>
          <w:tcPr>
            <w:tcW w:w="1775"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255"/>
        </w:trPr>
        <w:tc>
          <w:tcPr>
            <w:tcW w:w="714"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590"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344" w:type="dxa"/>
            <w:tcBorders>
              <w:top w:val="nil"/>
              <w:left w:val="nil"/>
              <w:bottom w:val="nil"/>
              <w:right w:val="nil"/>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Indikator</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7361" w:type="dxa"/>
            <w:gridSpan w:val="5"/>
            <w:tcBorders>
              <w:top w:val="nil"/>
              <w:left w:val="nil"/>
              <w:bottom w:val="nil"/>
              <w:right w:val="nil"/>
            </w:tcBorders>
            <w:shd w:val="clear" w:color="auto" w:fill="auto"/>
            <w:hideMark/>
          </w:tcPr>
          <w:p w:rsidR="00DC0B60" w:rsidRPr="00DC0B60" w:rsidRDefault="00DC0B60" w:rsidP="00DC0B60">
            <w:pPr>
              <w:spacing w:after="24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b. Tingkat penerimaan Strategi REDD+ oleh para aktor</w:t>
            </w:r>
            <w:r w:rsidRPr="00DC0B60">
              <w:rPr>
                <w:rFonts w:ascii="Times New Roman" w:eastAsia="Times New Roman" w:hAnsi="Times New Roman" w:cs="Times New Roman"/>
                <w:b/>
                <w:bCs/>
                <w:color w:val="000000"/>
                <w:sz w:val="20"/>
                <w:szCs w:val="20"/>
                <w:lang w:eastAsia="id-ID"/>
              </w:rPr>
              <w:br/>
            </w:r>
          </w:p>
        </w:tc>
      </w:tr>
      <w:tr w:rsidR="00DC0B60" w:rsidRPr="00DC0B60" w:rsidTr="00DC0B60">
        <w:trPr>
          <w:trHeight w:val="66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lastRenderedPageBreak/>
              <w:t>Sumber informasi</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7361" w:type="dxa"/>
            <w:gridSpan w:val="5"/>
            <w:tcBorders>
              <w:top w:val="nil"/>
              <w:left w:val="nil"/>
              <w:bottom w:val="single" w:sz="4" w:space="0" w:color="auto"/>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Pemerintah (Kementrian &amp; Dinas Kehutanan, Kementrian &amp; Dinas Pertanian, BAPPENAS &amp; BAPPEDA), Organisasi Masyarakat Sipil, Organisasi Masyarakat Adat/Lokal</w:t>
            </w:r>
          </w:p>
        </w:tc>
      </w:tr>
      <w:tr w:rsidR="00DC0B60" w:rsidRPr="00DC0B60" w:rsidTr="00DC0B6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Kode</w:t>
            </w:r>
          </w:p>
        </w:tc>
        <w:tc>
          <w:tcPr>
            <w:tcW w:w="122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Panduan Analisis Dokumen</w:t>
            </w:r>
          </w:p>
        </w:tc>
        <w:tc>
          <w:tcPr>
            <w:tcW w:w="159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Pertanyaan Wawancara</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Dokumen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Dokumen</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Wawancara</w:t>
            </w:r>
          </w:p>
        </w:tc>
      </w:tr>
      <w:tr w:rsidR="00DC0B60" w:rsidRPr="00DC0B60" w:rsidTr="00DC0B60">
        <w:trPr>
          <w:trHeight w:val="127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FVIb1</w:t>
            </w:r>
          </w:p>
        </w:tc>
        <w:tc>
          <w:tcPr>
            <w:tcW w:w="1220" w:type="dxa"/>
            <w:vMerge w:val="restart"/>
            <w:tcBorders>
              <w:top w:val="nil"/>
              <w:left w:val="single" w:sz="4" w:space="0" w:color="auto"/>
              <w:bottom w:val="single" w:sz="4" w:space="0" w:color="000000"/>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590" w:type="dxa"/>
            <w:vMerge w:val="restart"/>
            <w:tcBorders>
              <w:top w:val="nil"/>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Bagaimana penerimaan Strate-gi REDD+ oleh para aktor?</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Kehutanan</w:t>
            </w:r>
          </w:p>
        </w:tc>
        <w:tc>
          <w:tcPr>
            <w:tcW w:w="1693"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44"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Belum dapat diketahui karena Satgas REDD+ baru dibentuk sebatas pengurus. Kantor masih berada satu atap dengan Dinas Kehutanan Provinsi dan belum ada kegiatan riil, baru sebatas koordinasi ke Jakarta.  </w:t>
            </w:r>
          </w:p>
        </w:tc>
        <w:tc>
          <w:tcPr>
            <w:tcW w:w="1382"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2</w:t>
            </w:r>
          </w:p>
        </w:tc>
      </w:tr>
      <w:tr w:rsidR="00DC0B60" w:rsidRPr="00DC0B60" w:rsidTr="00DC0B60">
        <w:trPr>
          <w:trHeight w:val="1665"/>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Bappeda</w:t>
            </w:r>
          </w:p>
        </w:tc>
        <w:tc>
          <w:tcPr>
            <w:tcW w:w="1693"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44"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Belum dapat diketahui karena Bappeda memiliki program seperti REDD+ yaitu RAN GRK dibawah koordinasi Bappenas. Mekanisme dan kegiatannya hampir sama dengan REDD+ (lihat dalam RAN GRK Pokja II)</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2</w:t>
            </w:r>
          </w:p>
        </w:tc>
      </w:tr>
      <w:tr w:rsidR="00DC0B60" w:rsidRPr="00DC0B60" w:rsidTr="00DC0B60">
        <w:trPr>
          <w:trHeight w:val="1020"/>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LSM</w:t>
            </w:r>
          </w:p>
        </w:tc>
        <w:tc>
          <w:tcPr>
            <w:tcW w:w="1693"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44"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Belum diketahui strategi konkrit dalam implementasi REDD+, jadi belum dapat menentukan akseptabilitas strategi. REDD+ di Riau masih sebatas diskusi dan wacana.</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r>
      <w:tr w:rsidR="00DC0B60" w:rsidRPr="00DC0B60" w:rsidTr="00DC0B60">
        <w:trPr>
          <w:trHeight w:val="1695"/>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Organisasi Masyarakat Adat Lokal</w:t>
            </w:r>
          </w:p>
        </w:tc>
        <w:tc>
          <w:tcPr>
            <w:tcW w:w="1693"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44"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Belum mengetahui bentuk konkrit kegiatan dan benefit REDD+ bagi masyarakat, demikian pula dengan strategi REDD. Persepsi informan, hutan yang menjadi proyek REDD+ tidak dapat dimanfaatkan oleh masyarakat untuk </w:t>
            </w:r>
            <w:r w:rsidRPr="00DC0B60">
              <w:rPr>
                <w:rFonts w:ascii="Times New Roman" w:eastAsia="Times New Roman" w:hAnsi="Times New Roman" w:cs="Times New Roman"/>
                <w:color w:val="000000"/>
                <w:sz w:val="20"/>
                <w:szCs w:val="20"/>
                <w:lang w:eastAsia="id-ID"/>
              </w:rPr>
              <w:lastRenderedPageBreak/>
              <w:t>meningkatkan pendapatan.</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lastRenderedPageBreak/>
              <w:t>2</w:t>
            </w:r>
          </w:p>
        </w:tc>
      </w:tr>
      <w:tr w:rsidR="00DC0B60" w:rsidRPr="00DC0B60" w:rsidTr="00DC0B60">
        <w:trPr>
          <w:trHeight w:val="1290"/>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lastRenderedPageBreak/>
              <w:t>FVIb2</w:t>
            </w:r>
          </w:p>
        </w:tc>
        <w:tc>
          <w:tcPr>
            <w:tcW w:w="1220" w:type="dxa"/>
            <w:vMerge w:val="restart"/>
            <w:tcBorders>
              <w:top w:val="nil"/>
              <w:left w:val="single" w:sz="4" w:space="0" w:color="auto"/>
              <w:bottom w:val="single" w:sz="4" w:space="0" w:color="000000"/>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590" w:type="dxa"/>
            <w:vMerge w:val="restart"/>
            <w:tcBorders>
              <w:top w:val="nil"/>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Apakah Kelembagaan REDD+ sudah memadai?</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Kehutanan</w:t>
            </w:r>
          </w:p>
        </w:tc>
        <w:tc>
          <w:tcPr>
            <w:tcW w:w="1693"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44"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Satgas sudah ada, tapi baru sebatas kelembagaan saja, belum ada kegiatan konkrit. Ruangan dan biaya juga tidak ada. Jadi sejauh ini belum ada aktifitas untuk kegiatan REDD+</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r>
      <w:tr w:rsidR="00DC0B60" w:rsidRPr="00DC0B60" w:rsidTr="00DC0B60">
        <w:trPr>
          <w:trHeight w:val="3300"/>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Bappeda</w:t>
            </w:r>
          </w:p>
        </w:tc>
        <w:tc>
          <w:tcPr>
            <w:tcW w:w="1693"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44"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Lebih banyak terlibat dalam kegiatan RAN GRK. Kelembagaan REDD+ masih harus disempurnakan, karena nantinya pertanggungjawaban anggaran juga harus diantisipasi diawal, karena koordinasi di bawah UKP4. Sementara UKP4 adalah badan pertimbangan presiden. Perlu dikaji secara menyeluruh tentang mekanisme bagi hasil dan pertanggungjwaban keuangan nantinya, mengingat REDD+ sangat kompleks dalam merealisasikan rumusan atau komposisi carbon trading 26% dan 41%. </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2</w:t>
            </w:r>
          </w:p>
        </w:tc>
      </w:tr>
      <w:tr w:rsidR="00DC0B60" w:rsidRPr="00DC0B60" w:rsidTr="00DC0B60">
        <w:trPr>
          <w:trHeight w:val="930"/>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LSM</w:t>
            </w:r>
          </w:p>
        </w:tc>
        <w:tc>
          <w:tcPr>
            <w:tcW w:w="1693"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44"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Hingga saat ini kelembagaan belum memadai karena infrastruktur REDD+ belum terbentuk di daerah dan belum ditentukan lokasi proyek.</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r>
      <w:tr w:rsidR="00DC0B60" w:rsidRPr="00DC0B60" w:rsidTr="00DC0B60">
        <w:trPr>
          <w:trHeight w:val="1365"/>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Organisasi Masyarakat Adat Lokal</w:t>
            </w:r>
          </w:p>
        </w:tc>
        <w:tc>
          <w:tcPr>
            <w:tcW w:w="1693"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44"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Kelembagaan REDD+ belum memadai, komunikasi dengan AMAN REDD+ baru sebatas wacana. Lagipula apakah REDD+ menjamin masyarakat adat lebih baik kehidupannya?</w:t>
            </w:r>
          </w:p>
        </w:tc>
        <w:tc>
          <w:tcPr>
            <w:tcW w:w="1382"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1</w:t>
            </w:r>
          </w:p>
        </w:tc>
      </w:tr>
      <w:tr w:rsidR="00DC0B60" w:rsidRPr="00DC0B60" w:rsidTr="00DC0B60">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FVIb3</w:t>
            </w:r>
          </w:p>
        </w:tc>
        <w:tc>
          <w:tcPr>
            <w:tcW w:w="1220" w:type="dxa"/>
            <w:vMerge w:val="restart"/>
            <w:tcBorders>
              <w:top w:val="nil"/>
              <w:left w:val="single" w:sz="4" w:space="0" w:color="auto"/>
              <w:bottom w:val="single" w:sz="4" w:space="0" w:color="000000"/>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590" w:type="dxa"/>
            <w:vMerge w:val="restart"/>
            <w:tcBorders>
              <w:top w:val="nil"/>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Apakah Kerangka Pengaman sudah memadai?</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Kehutanan</w:t>
            </w:r>
          </w:p>
        </w:tc>
        <w:tc>
          <w:tcPr>
            <w:tcW w:w="1693"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44"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Tidak dapat dijawab, karena kelembagaan dan infrastruktur REDD+ belum terbentuk secara lengkap.</w:t>
            </w:r>
          </w:p>
        </w:tc>
        <w:tc>
          <w:tcPr>
            <w:tcW w:w="1382" w:type="dxa"/>
            <w:tcBorders>
              <w:top w:val="nil"/>
              <w:left w:val="nil"/>
              <w:bottom w:val="single" w:sz="4" w:space="0" w:color="auto"/>
              <w:right w:val="single" w:sz="4" w:space="0" w:color="auto"/>
            </w:tcBorders>
            <w:shd w:val="clear" w:color="000000" w:fill="FFFF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765"/>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Bappeda</w:t>
            </w:r>
          </w:p>
        </w:tc>
        <w:tc>
          <w:tcPr>
            <w:tcW w:w="1693"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44"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Tidak dapat dijawab, karena kelembagaan dan infrastruktur REDD+ belum terbentuk secara lengkap.</w:t>
            </w:r>
          </w:p>
        </w:tc>
        <w:tc>
          <w:tcPr>
            <w:tcW w:w="1382" w:type="dxa"/>
            <w:tcBorders>
              <w:top w:val="nil"/>
              <w:left w:val="nil"/>
              <w:bottom w:val="single" w:sz="4" w:space="0" w:color="auto"/>
              <w:right w:val="single" w:sz="4" w:space="0" w:color="auto"/>
            </w:tcBorders>
            <w:shd w:val="clear" w:color="000000" w:fill="FFFF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765"/>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LSM</w:t>
            </w:r>
          </w:p>
        </w:tc>
        <w:tc>
          <w:tcPr>
            <w:tcW w:w="1693"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44"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Tidak dapat dijawab, karena kelembagaan dan infrastruktur REDD+ belum terbentuk secara lengkap.</w:t>
            </w:r>
          </w:p>
        </w:tc>
        <w:tc>
          <w:tcPr>
            <w:tcW w:w="1382" w:type="dxa"/>
            <w:tcBorders>
              <w:top w:val="nil"/>
              <w:left w:val="nil"/>
              <w:bottom w:val="single" w:sz="4" w:space="0" w:color="auto"/>
              <w:right w:val="single" w:sz="4" w:space="0" w:color="auto"/>
            </w:tcBorders>
            <w:shd w:val="clear" w:color="000000" w:fill="FFFF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765"/>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Organisasi Masyarakat Adat Lokal</w:t>
            </w:r>
          </w:p>
        </w:tc>
        <w:tc>
          <w:tcPr>
            <w:tcW w:w="1693"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44"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Tidak dapat dijawab, karena kelembagaan dan infrastruktur REDD+ belum terbentuk secara lengkap.</w:t>
            </w:r>
          </w:p>
        </w:tc>
        <w:tc>
          <w:tcPr>
            <w:tcW w:w="1382" w:type="dxa"/>
            <w:tcBorders>
              <w:top w:val="nil"/>
              <w:left w:val="nil"/>
              <w:bottom w:val="single" w:sz="4" w:space="0" w:color="auto"/>
              <w:right w:val="single" w:sz="4" w:space="0" w:color="auto"/>
            </w:tcBorders>
            <w:shd w:val="clear" w:color="000000" w:fill="FFFF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765"/>
        </w:trPr>
        <w:tc>
          <w:tcPr>
            <w:tcW w:w="714" w:type="dxa"/>
            <w:vMerge w:val="restart"/>
            <w:tcBorders>
              <w:top w:val="nil"/>
              <w:left w:val="single" w:sz="4" w:space="0" w:color="auto"/>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FVIb4</w:t>
            </w:r>
          </w:p>
        </w:tc>
        <w:tc>
          <w:tcPr>
            <w:tcW w:w="1220" w:type="dxa"/>
            <w:vMerge w:val="restart"/>
            <w:tcBorders>
              <w:top w:val="nil"/>
              <w:left w:val="single" w:sz="4" w:space="0" w:color="auto"/>
              <w:bottom w:val="single" w:sz="4" w:space="0" w:color="000000"/>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590" w:type="dxa"/>
            <w:vMerge w:val="restart"/>
            <w:tcBorders>
              <w:top w:val="nil"/>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Apakah (mekanisme) MRV sudah memadai?</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Kehutanan</w:t>
            </w:r>
          </w:p>
        </w:tc>
        <w:tc>
          <w:tcPr>
            <w:tcW w:w="1693"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44"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Tidak dapat dijawab, karena kelembagaan dan infrastruktur REDD+ belum terbentuk secara lengkap.</w:t>
            </w:r>
          </w:p>
        </w:tc>
        <w:tc>
          <w:tcPr>
            <w:tcW w:w="1382" w:type="dxa"/>
            <w:tcBorders>
              <w:top w:val="nil"/>
              <w:left w:val="nil"/>
              <w:bottom w:val="single" w:sz="4" w:space="0" w:color="auto"/>
              <w:right w:val="single" w:sz="4" w:space="0" w:color="auto"/>
            </w:tcBorders>
            <w:shd w:val="clear" w:color="000000" w:fill="FFFF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765"/>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Bappeda</w:t>
            </w:r>
          </w:p>
        </w:tc>
        <w:tc>
          <w:tcPr>
            <w:tcW w:w="1693"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44"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Tidak dapat dijawab, karena kelembagaan dan infrastruktur REDD+ belum terbentuk secara lengkap.</w:t>
            </w:r>
          </w:p>
        </w:tc>
        <w:tc>
          <w:tcPr>
            <w:tcW w:w="1382" w:type="dxa"/>
            <w:tcBorders>
              <w:top w:val="nil"/>
              <w:left w:val="nil"/>
              <w:bottom w:val="single" w:sz="4" w:space="0" w:color="auto"/>
              <w:right w:val="single" w:sz="4" w:space="0" w:color="auto"/>
            </w:tcBorders>
            <w:shd w:val="clear" w:color="000000" w:fill="FFFF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765"/>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LSM</w:t>
            </w:r>
          </w:p>
        </w:tc>
        <w:tc>
          <w:tcPr>
            <w:tcW w:w="1693"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44"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Tidak dapat dijawab, karena kelembagaan dan infrastruktur REDD+ belum terbentuk secara lengkap.</w:t>
            </w:r>
          </w:p>
        </w:tc>
        <w:tc>
          <w:tcPr>
            <w:tcW w:w="1382" w:type="dxa"/>
            <w:tcBorders>
              <w:top w:val="nil"/>
              <w:left w:val="nil"/>
              <w:bottom w:val="single" w:sz="4" w:space="0" w:color="auto"/>
              <w:right w:val="single" w:sz="4" w:space="0" w:color="auto"/>
            </w:tcBorders>
            <w:shd w:val="clear" w:color="000000" w:fill="FFFF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765"/>
        </w:trPr>
        <w:tc>
          <w:tcPr>
            <w:tcW w:w="714"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220" w:type="dxa"/>
            <w:vMerge/>
            <w:tcBorders>
              <w:top w:val="nil"/>
              <w:left w:val="single" w:sz="4" w:space="0" w:color="auto"/>
              <w:bottom w:val="single" w:sz="4" w:space="0" w:color="000000"/>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590" w:type="dxa"/>
            <w:vMerge/>
            <w:tcBorders>
              <w:top w:val="nil"/>
              <w:left w:val="single" w:sz="4" w:space="0" w:color="auto"/>
              <w:bottom w:val="single" w:sz="4" w:space="0" w:color="auto"/>
              <w:right w:val="single" w:sz="4" w:space="0" w:color="auto"/>
            </w:tcBorders>
            <w:vAlign w:val="center"/>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Organisasi Masyarakat Adat Lokal</w:t>
            </w:r>
          </w:p>
        </w:tc>
        <w:tc>
          <w:tcPr>
            <w:tcW w:w="1693"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44"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Tidak dapat dijawab, karena kelembagaan dan infrastruktur REDD+ belum terbentuk secara lengkap.</w:t>
            </w:r>
          </w:p>
        </w:tc>
        <w:tc>
          <w:tcPr>
            <w:tcW w:w="1382" w:type="dxa"/>
            <w:tcBorders>
              <w:top w:val="nil"/>
              <w:left w:val="nil"/>
              <w:bottom w:val="single" w:sz="4" w:space="0" w:color="auto"/>
              <w:right w:val="single" w:sz="4" w:space="0" w:color="auto"/>
            </w:tcBorders>
            <w:shd w:val="clear" w:color="000000" w:fill="FFFF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255"/>
        </w:trPr>
        <w:tc>
          <w:tcPr>
            <w:tcW w:w="714"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344"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Indikator</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7361" w:type="dxa"/>
            <w:gridSpan w:val="5"/>
            <w:tcBorders>
              <w:top w:val="nil"/>
              <w:left w:val="nil"/>
              <w:bottom w:val="nil"/>
              <w:right w:val="nil"/>
            </w:tcBorders>
            <w:shd w:val="clear" w:color="auto" w:fill="auto"/>
            <w:hideMark/>
          </w:tcPr>
          <w:p w:rsidR="00DC0B60" w:rsidRPr="00DC0B60" w:rsidRDefault="00DC0B60" w:rsidP="00DC0B60">
            <w:pPr>
              <w:spacing w:after="24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c. Tingkat deforestasi di lokasi assesmen</w:t>
            </w: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informasi</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7361" w:type="dxa"/>
            <w:gridSpan w:val="5"/>
            <w:tcBorders>
              <w:top w:val="nil"/>
              <w:left w:val="nil"/>
              <w:bottom w:val="single" w:sz="4" w:space="0" w:color="auto"/>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Kementerian &amp; Dinas Kehutanan</w:t>
            </w:r>
          </w:p>
        </w:tc>
      </w:tr>
      <w:tr w:rsidR="00DC0B60" w:rsidRPr="00DC0B60" w:rsidTr="00DC0B6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Kode</w:t>
            </w:r>
          </w:p>
        </w:tc>
        <w:tc>
          <w:tcPr>
            <w:tcW w:w="122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Panduan Analisis Dokumen</w:t>
            </w:r>
          </w:p>
        </w:tc>
        <w:tc>
          <w:tcPr>
            <w:tcW w:w="159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Pertanyaan Wawancara</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Dokumen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Dokumen</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Wawancara</w:t>
            </w:r>
          </w:p>
        </w:tc>
      </w:tr>
      <w:tr w:rsidR="00DC0B60" w:rsidRPr="00DC0B60" w:rsidTr="00DC0B60">
        <w:trPr>
          <w:trHeight w:val="1755"/>
        </w:trPr>
        <w:tc>
          <w:tcPr>
            <w:tcW w:w="714" w:type="dxa"/>
            <w:tcBorders>
              <w:top w:val="nil"/>
              <w:left w:val="single" w:sz="4" w:space="0" w:color="auto"/>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FVIc1</w:t>
            </w:r>
          </w:p>
        </w:tc>
        <w:tc>
          <w:tcPr>
            <w:tcW w:w="122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Tingkat deforestasi di lokasi assesmen </w:t>
            </w:r>
          </w:p>
        </w:tc>
        <w:tc>
          <w:tcPr>
            <w:tcW w:w="159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Kehutanan</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Proses mengkaji data Laporan Tahunan BBKSDA. Laporan Tahunan TNTN: Taman Nasional Tesso Nilo seluas sekitar 80.000 ha telah dirambah dan ditanami sawit sekitar 30.000 ha dan dihuni oleh kira-kira 5.000 KK.</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3</w:t>
            </w:r>
          </w:p>
        </w:tc>
        <w:tc>
          <w:tcPr>
            <w:tcW w:w="1775"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255"/>
        </w:trPr>
        <w:tc>
          <w:tcPr>
            <w:tcW w:w="714"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344"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Indikator</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7361" w:type="dxa"/>
            <w:gridSpan w:val="5"/>
            <w:tcBorders>
              <w:top w:val="nil"/>
              <w:left w:val="nil"/>
              <w:bottom w:val="nil"/>
              <w:right w:val="nil"/>
            </w:tcBorders>
            <w:shd w:val="clear" w:color="auto" w:fill="auto"/>
            <w:hideMark/>
          </w:tcPr>
          <w:p w:rsidR="00DC0B60" w:rsidRPr="00DC0B60" w:rsidRDefault="00DC0B60" w:rsidP="00DC0B60">
            <w:pPr>
              <w:spacing w:after="24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d. Tingkat degradasi hutan di lokasi assesmen</w:t>
            </w: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informasi</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7361" w:type="dxa"/>
            <w:gridSpan w:val="5"/>
            <w:tcBorders>
              <w:top w:val="nil"/>
              <w:left w:val="nil"/>
              <w:bottom w:val="single" w:sz="4" w:space="0" w:color="auto"/>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Kementerian &amp; Dinas Kehutanan</w:t>
            </w:r>
          </w:p>
        </w:tc>
      </w:tr>
      <w:tr w:rsidR="00DC0B60" w:rsidRPr="00DC0B60" w:rsidTr="00DC0B6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Kode</w:t>
            </w:r>
          </w:p>
        </w:tc>
        <w:tc>
          <w:tcPr>
            <w:tcW w:w="122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Panduan Analisis Dokumen</w:t>
            </w:r>
          </w:p>
        </w:tc>
        <w:tc>
          <w:tcPr>
            <w:tcW w:w="159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Pertanyaan Wawancara</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Dokumen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Dokumen</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Wawancara</w:t>
            </w:r>
          </w:p>
        </w:tc>
      </w:tr>
      <w:tr w:rsidR="00DC0B60" w:rsidRPr="00DC0B60" w:rsidTr="00DC0B60">
        <w:trPr>
          <w:trHeight w:val="2490"/>
        </w:trPr>
        <w:tc>
          <w:tcPr>
            <w:tcW w:w="714" w:type="dxa"/>
            <w:tcBorders>
              <w:top w:val="nil"/>
              <w:left w:val="single" w:sz="4" w:space="0" w:color="auto"/>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FVId1</w:t>
            </w:r>
          </w:p>
        </w:tc>
        <w:tc>
          <w:tcPr>
            <w:tcW w:w="122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Tingkat degradasi hutan di lokasi assesmen </w:t>
            </w:r>
          </w:p>
        </w:tc>
        <w:tc>
          <w:tcPr>
            <w:tcW w:w="159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Kehutanan</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Data WWF 2008 mencatat degradasi hutan seluas 4.166.381 ha (65%) dari tutupan hutan asli, yaitu kurang dari 4.420.499 ha (78% luas daratan utama Riau) menjadi 2.254.118 ha (27%). Tanah gambut berkurang 57% (1.831.193 ha dari hutan-hutannya); sementara tanah non gambut kehilangan 73% (2.335.189 ha) dari hutan-hutannya. </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3</w:t>
            </w:r>
          </w:p>
        </w:tc>
        <w:tc>
          <w:tcPr>
            <w:tcW w:w="1775"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r w:rsidR="00DC0B60" w:rsidRPr="00DC0B60" w:rsidTr="00DC0B60">
        <w:trPr>
          <w:trHeight w:val="255"/>
        </w:trPr>
        <w:tc>
          <w:tcPr>
            <w:tcW w:w="714"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220"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167"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693"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344"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c>
          <w:tcPr>
            <w:tcW w:w="1775"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p>
        </w:tc>
      </w:tr>
      <w:tr w:rsidR="00DC0B60" w:rsidRPr="00DC0B60" w:rsidTr="00DC0B60">
        <w:trPr>
          <w:trHeight w:val="6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lastRenderedPageBreak/>
              <w:t>Indikator</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p>
        </w:tc>
        <w:tc>
          <w:tcPr>
            <w:tcW w:w="7361" w:type="dxa"/>
            <w:gridSpan w:val="5"/>
            <w:tcBorders>
              <w:top w:val="nil"/>
              <w:left w:val="nil"/>
              <w:bottom w:val="nil"/>
              <w:right w:val="nil"/>
            </w:tcBorders>
            <w:shd w:val="clear" w:color="auto" w:fill="auto"/>
            <w:hideMark/>
          </w:tcPr>
          <w:p w:rsidR="00DC0B60" w:rsidRPr="00DC0B60" w:rsidRDefault="00DC0B60" w:rsidP="00DC0B60">
            <w:pPr>
              <w:spacing w:after="24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xml:space="preserve">: e. Jumlah kawasan yang dikelola secara berkelanjutan oleh pelaku pengelolaan hutan dalam pelaksanaan </w:t>
            </w:r>
            <w:r w:rsidRPr="00DC0B60">
              <w:rPr>
                <w:rFonts w:ascii="Times New Roman" w:eastAsia="Times New Roman" w:hAnsi="Times New Roman" w:cs="Times New Roman"/>
                <w:b/>
                <w:bCs/>
                <w:color w:val="000000"/>
                <w:sz w:val="20"/>
                <w:szCs w:val="20"/>
                <w:lang w:eastAsia="id-ID"/>
              </w:rPr>
              <w:br/>
              <w:t xml:space="preserve">  REDD+ (demonstration ativities)</w:t>
            </w:r>
            <w:r w:rsidRPr="00DC0B60">
              <w:rPr>
                <w:rFonts w:ascii="Times New Roman" w:eastAsia="Times New Roman" w:hAnsi="Times New Roman" w:cs="Times New Roman"/>
                <w:b/>
                <w:bCs/>
                <w:color w:val="000000"/>
                <w:sz w:val="20"/>
                <w:szCs w:val="20"/>
                <w:lang w:eastAsia="id-ID"/>
              </w:rPr>
              <w:br/>
            </w:r>
          </w:p>
        </w:tc>
      </w:tr>
      <w:tr w:rsidR="00DC0B60" w:rsidRPr="00DC0B60" w:rsidTr="00DC0B60">
        <w:trPr>
          <w:trHeight w:val="300"/>
        </w:trPr>
        <w:tc>
          <w:tcPr>
            <w:tcW w:w="1934" w:type="dxa"/>
            <w:gridSpan w:val="2"/>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informasi</w:t>
            </w:r>
          </w:p>
        </w:tc>
        <w:tc>
          <w:tcPr>
            <w:tcW w:w="1590" w:type="dxa"/>
            <w:tcBorders>
              <w:top w:val="nil"/>
              <w:left w:val="nil"/>
              <w:bottom w:val="nil"/>
              <w:right w:val="nil"/>
            </w:tcBorders>
            <w:shd w:val="clear" w:color="auto" w:fill="auto"/>
            <w:noWrap/>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p>
        </w:tc>
        <w:tc>
          <w:tcPr>
            <w:tcW w:w="7361" w:type="dxa"/>
            <w:gridSpan w:val="5"/>
            <w:tcBorders>
              <w:top w:val="nil"/>
              <w:left w:val="nil"/>
              <w:bottom w:val="single" w:sz="4" w:space="0" w:color="auto"/>
              <w:right w:val="nil"/>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 Kementerian &amp; Dinas Kehutanan</w:t>
            </w:r>
          </w:p>
        </w:tc>
      </w:tr>
      <w:tr w:rsidR="00DC0B60" w:rsidRPr="00DC0B60" w:rsidTr="00DC0B60">
        <w:trPr>
          <w:trHeight w:val="510"/>
        </w:trPr>
        <w:tc>
          <w:tcPr>
            <w:tcW w:w="714" w:type="dxa"/>
            <w:tcBorders>
              <w:top w:val="single" w:sz="4" w:space="0" w:color="auto"/>
              <w:left w:val="single" w:sz="4" w:space="0" w:color="auto"/>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Kode</w:t>
            </w:r>
          </w:p>
        </w:tc>
        <w:tc>
          <w:tcPr>
            <w:tcW w:w="122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Panduan Analisis Dokumen</w:t>
            </w:r>
          </w:p>
        </w:tc>
        <w:tc>
          <w:tcPr>
            <w:tcW w:w="1590" w:type="dxa"/>
            <w:tcBorders>
              <w:top w:val="single" w:sz="4" w:space="0" w:color="auto"/>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Pertanyaan Wawancara</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Sumber Data</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Dokumen</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Dokumen</w:t>
            </w:r>
          </w:p>
        </w:tc>
        <w:tc>
          <w:tcPr>
            <w:tcW w:w="1775"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b/>
                <w:bCs/>
                <w:color w:val="000000"/>
                <w:sz w:val="20"/>
                <w:szCs w:val="20"/>
                <w:lang w:eastAsia="id-ID"/>
              </w:rPr>
            </w:pPr>
            <w:r w:rsidRPr="00DC0B60">
              <w:rPr>
                <w:rFonts w:ascii="Times New Roman" w:eastAsia="Times New Roman" w:hAnsi="Times New Roman" w:cs="Times New Roman"/>
                <w:b/>
                <w:bCs/>
                <w:color w:val="000000"/>
                <w:sz w:val="20"/>
                <w:szCs w:val="20"/>
                <w:lang w:eastAsia="id-ID"/>
              </w:rPr>
              <w:t>Kategori Data Wawancara</w:t>
            </w:r>
          </w:p>
        </w:tc>
      </w:tr>
      <w:tr w:rsidR="00DC0B60" w:rsidRPr="00DC0B60" w:rsidTr="00DC0B60">
        <w:trPr>
          <w:trHeight w:val="1650"/>
        </w:trPr>
        <w:tc>
          <w:tcPr>
            <w:tcW w:w="714" w:type="dxa"/>
            <w:tcBorders>
              <w:top w:val="nil"/>
              <w:left w:val="single" w:sz="4" w:space="0" w:color="auto"/>
              <w:bottom w:val="single" w:sz="4" w:space="0" w:color="auto"/>
              <w:right w:val="single" w:sz="4" w:space="0" w:color="auto"/>
            </w:tcBorders>
            <w:shd w:val="clear" w:color="auto" w:fill="auto"/>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FVIe1</w:t>
            </w:r>
          </w:p>
        </w:tc>
        <w:tc>
          <w:tcPr>
            <w:tcW w:w="122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Jumlah kawasan yang dikelola secara berkelanjutan oleh pelaku pengelolaan hutan dalam pelaksanaan REDD+ (demonstration ativities) </w:t>
            </w:r>
          </w:p>
        </w:tc>
        <w:tc>
          <w:tcPr>
            <w:tcW w:w="1590"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167"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Kehutanan</w:t>
            </w:r>
          </w:p>
        </w:tc>
        <w:tc>
          <w:tcPr>
            <w:tcW w:w="1693"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xml:space="preserve">Demostrative Activity REDD+ di Hutan Gambut oleh BBKSDA dengan alokasi anggaran sebesar Rp 122.800.060.000 namun tidak realisasi karena belum ada skema konkrit REDD+. Sumber data: LAKIP BBKSDA Riau 2011  </w:t>
            </w:r>
          </w:p>
        </w:tc>
        <w:tc>
          <w:tcPr>
            <w:tcW w:w="1344" w:type="dxa"/>
            <w:tcBorders>
              <w:top w:val="nil"/>
              <w:left w:val="nil"/>
              <w:bottom w:val="single" w:sz="4" w:space="0" w:color="auto"/>
              <w:right w:val="single" w:sz="4" w:space="0" w:color="auto"/>
            </w:tcBorders>
            <w:shd w:val="clear" w:color="auto" w:fill="auto"/>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2</w:t>
            </w:r>
          </w:p>
        </w:tc>
        <w:tc>
          <w:tcPr>
            <w:tcW w:w="1775" w:type="dxa"/>
            <w:tcBorders>
              <w:top w:val="nil"/>
              <w:left w:val="nil"/>
              <w:bottom w:val="single" w:sz="4" w:space="0" w:color="auto"/>
              <w:right w:val="single" w:sz="4" w:space="0" w:color="auto"/>
            </w:tcBorders>
            <w:shd w:val="clear" w:color="000000" w:fill="000000"/>
            <w:hideMark/>
          </w:tcPr>
          <w:p w:rsidR="00DC0B60" w:rsidRPr="00DC0B60" w:rsidRDefault="00DC0B60" w:rsidP="00DC0B60">
            <w:pPr>
              <w:spacing w:after="0" w:line="240" w:lineRule="auto"/>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DC0B60" w:rsidRPr="00DC0B60" w:rsidRDefault="00DC0B60" w:rsidP="00DC0B60">
            <w:pPr>
              <w:spacing w:after="0" w:line="240" w:lineRule="auto"/>
              <w:jc w:val="center"/>
              <w:rPr>
                <w:rFonts w:ascii="Times New Roman" w:eastAsia="Times New Roman" w:hAnsi="Times New Roman" w:cs="Times New Roman"/>
                <w:color w:val="000000"/>
                <w:sz w:val="20"/>
                <w:szCs w:val="20"/>
                <w:lang w:eastAsia="id-ID"/>
              </w:rPr>
            </w:pPr>
            <w:r w:rsidRPr="00DC0B60">
              <w:rPr>
                <w:rFonts w:ascii="Times New Roman" w:eastAsia="Times New Roman" w:hAnsi="Times New Roman" w:cs="Times New Roman"/>
                <w:color w:val="000000"/>
                <w:sz w:val="20"/>
                <w:szCs w:val="20"/>
                <w:lang w:eastAsia="id-ID"/>
              </w:rPr>
              <w:t> </w:t>
            </w:r>
          </w:p>
        </w:tc>
      </w:tr>
    </w:tbl>
    <w:p w:rsidR="00DC0B60" w:rsidRDefault="00DC0B60"/>
    <w:sectPr w:rsidR="00DC0B60"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570C7"/>
    <w:rsid w:val="005D2D3D"/>
    <w:rsid w:val="006E5970"/>
    <w:rsid w:val="009F3E98"/>
    <w:rsid w:val="00A91768"/>
    <w:rsid w:val="00BB5203"/>
    <w:rsid w:val="00C622FE"/>
    <w:rsid w:val="00C719D0"/>
    <w:rsid w:val="00D74DB4"/>
    <w:rsid w:val="00D9058A"/>
    <w:rsid w:val="00DC0B60"/>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C622FE"/>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6">
    <w:name w:val="font6"/>
    <w:basedOn w:val="Normal"/>
    <w:rsid w:val="00C622FE"/>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xl111">
    <w:name w:val="xl111"/>
    <w:basedOn w:val="Normal"/>
    <w:rsid w:val="00C622F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2">
    <w:name w:val="xl112"/>
    <w:basedOn w:val="Normal"/>
    <w:rsid w:val="00C622F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3">
    <w:name w:val="xl113"/>
    <w:basedOn w:val="Normal"/>
    <w:rsid w:val="00C622FE"/>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4">
    <w:name w:val="xl114"/>
    <w:basedOn w:val="Normal"/>
    <w:rsid w:val="00C622FE"/>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115">
    <w:name w:val="xl115"/>
    <w:basedOn w:val="Normal"/>
    <w:rsid w:val="00C622F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FFFF00"/>
      <w:sz w:val="20"/>
      <w:szCs w:val="20"/>
      <w:lang w:eastAsia="id-ID"/>
    </w:rPr>
  </w:style>
  <w:style w:type="paragraph" w:customStyle="1" w:styleId="xl116">
    <w:name w:val="xl116"/>
    <w:basedOn w:val="Normal"/>
    <w:rsid w:val="00C622FE"/>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7">
    <w:name w:val="xl117"/>
    <w:basedOn w:val="Normal"/>
    <w:rsid w:val="00C622FE"/>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8">
    <w:name w:val="xl118"/>
    <w:basedOn w:val="Normal"/>
    <w:rsid w:val="00C622F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7">
    <w:name w:val="font7"/>
    <w:basedOn w:val="Normal"/>
    <w:rsid w:val="00DC0B60"/>
    <w:pPr>
      <w:spacing w:before="100" w:beforeAutospacing="1" w:after="100" w:afterAutospacing="1" w:line="240" w:lineRule="auto"/>
    </w:pPr>
    <w:rPr>
      <w:rFonts w:ascii="Times New Roman" w:eastAsia="Times New Roman" w:hAnsi="Times New Roman" w:cs="Times New Roman"/>
      <w:color w:val="000000"/>
      <w:sz w:val="20"/>
      <w:szCs w:val="20"/>
      <w:lang w:eastAsia="id-ID"/>
    </w:rPr>
  </w:style>
  <w:style w:type="paragraph" w:customStyle="1" w:styleId="font8">
    <w:name w:val="font8"/>
    <w:basedOn w:val="Normal"/>
    <w:rsid w:val="00DC0B60"/>
    <w:pPr>
      <w:spacing w:before="100" w:beforeAutospacing="1" w:after="100" w:afterAutospacing="1" w:line="240" w:lineRule="auto"/>
    </w:pPr>
    <w:rPr>
      <w:rFonts w:ascii="Times New Roman" w:eastAsia="Times New Roman" w:hAnsi="Times New Roman" w:cs="Times New Roman"/>
      <w:i/>
      <w:iCs/>
      <w:color w:val="000000"/>
      <w:sz w:val="20"/>
      <w:szCs w:val="20"/>
      <w:lang w:eastAsia="id-ID"/>
    </w:rPr>
  </w:style>
  <w:style w:type="paragraph" w:customStyle="1" w:styleId="font9">
    <w:name w:val="font9"/>
    <w:basedOn w:val="Normal"/>
    <w:rsid w:val="00DC0B60"/>
    <w:pPr>
      <w:spacing w:before="100" w:beforeAutospacing="1" w:after="100" w:afterAutospacing="1" w:line="240" w:lineRule="auto"/>
    </w:pPr>
    <w:rPr>
      <w:rFonts w:ascii="Times New Roman" w:eastAsia="Times New Roman" w:hAnsi="Times New Roman" w:cs="Times New Roman"/>
      <w:color w:val="1F497D"/>
      <w:sz w:val="20"/>
      <w:szCs w:val="20"/>
      <w:lang w:eastAsia="id-ID"/>
    </w:rPr>
  </w:style>
  <w:style w:type="paragraph" w:customStyle="1" w:styleId="font10">
    <w:name w:val="font10"/>
    <w:basedOn w:val="Normal"/>
    <w:rsid w:val="00DC0B60"/>
    <w:pPr>
      <w:spacing w:before="100" w:beforeAutospacing="1" w:after="100" w:afterAutospacing="1" w:line="240" w:lineRule="auto"/>
    </w:pPr>
    <w:rPr>
      <w:rFonts w:ascii="Times New Roman" w:eastAsia="Times New Roman" w:hAnsi="Times New Roman" w:cs="Times New Roman"/>
      <w:b/>
      <w:bCs/>
      <w:color w:val="1F497D"/>
      <w:sz w:val="20"/>
      <w:szCs w:val="20"/>
      <w:u w:val="single"/>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46650838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933971910">
      <w:bodyDiv w:val="1"/>
      <w:marLeft w:val="0"/>
      <w:marRight w:val="0"/>
      <w:marTop w:val="0"/>
      <w:marBottom w:val="0"/>
      <w:divBdr>
        <w:top w:val="none" w:sz="0" w:space="0" w:color="auto"/>
        <w:left w:val="none" w:sz="0" w:space="0" w:color="auto"/>
        <w:bottom w:val="none" w:sz="0" w:space="0" w:color="auto"/>
        <w:right w:val="none" w:sz="0" w:space="0" w:color="auto"/>
      </w:divBdr>
    </w:div>
    <w:div w:id="1576473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27</Pages>
  <Words>5644</Words>
  <Characters>32171</Characters>
  <Application>Microsoft Office Word</Application>
  <DocSecurity>0</DocSecurity>
  <Lines>268</Lines>
  <Paragraphs>75</Paragraphs>
  <ScaleCrop>false</ScaleCrop>
  <Company/>
  <LinksUpToDate>false</LinksUpToDate>
  <CharactersWithSpaces>37740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5</cp:revision>
  <dcterms:created xsi:type="dcterms:W3CDTF">2012-10-16T01:42:00Z</dcterms:created>
  <dcterms:modified xsi:type="dcterms:W3CDTF">2012-10-16T10:14:00Z</dcterms:modified>
</cp:coreProperties>
</file>